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97EF1" w14:textId="46051A0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7B2628">
        <w:t>99</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7B2628">
        <w:rPr>
          <w:sz w:val="32"/>
          <w:szCs w:val="32"/>
        </w:rPr>
        <w:t>9</w:t>
      </w:r>
      <w:bookmarkStart w:id="0" w:name="_GoBack"/>
      <w:bookmarkEnd w:id="0"/>
      <w:r w:rsidR="001559A2" w:rsidRPr="001559A2">
        <w:rPr>
          <w:sz w:val="32"/>
          <w:szCs w:val="32"/>
        </w:rPr>
        <w:t>12987</w:t>
      </w:r>
    </w:p>
    <w:p w14:paraId="4367AF4E" w14:textId="77777777" w:rsidR="00E90E49" w:rsidRPr="00CE0424" w:rsidRDefault="007B2628" w:rsidP="00311702">
      <w:pPr>
        <w:pStyle w:val="3GPPHeader"/>
      </w:pPr>
      <w:r w:rsidRPr="001D2F13">
        <w:t>Reno, USA, November 18</w:t>
      </w:r>
      <w:r w:rsidRPr="001D2F13">
        <w:rPr>
          <w:vertAlign w:val="superscript"/>
        </w:rPr>
        <w:t>th</w:t>
      </w:r>
      <w:r w:rsidRPr="001D2F13">
        <w:t xml:space="preserve"> – 22</w:t>
      </w:r>
      <w:r w:rsidRPr="001D2F13">
        <w:rPr>
          <w:vertAlign w:val="superscript"/>
        </w:rPr>
        <w:t>nd</w:t>
      </w:r>
      <w:r w:rsidRPr="001D2F13">
        <w:t>, 2019</w:t>
      </w:r>
    </w:p>
    <w:p w14:paraId="7BBD0F4F" w14:textId="77777777" w:rsidR="00E90E49" w:rsidRPr="00CE0424" w:rsidRDefault="00E90E49" w:rsidP="00357380">
      <w:pPr>
        <w:pStyle w:val="3GPPHeader"/>
      </w:pPr>
    </w:p>
    <w:p w14:paraId="1F0150F2" w14:textId="72D638FD" w:rsidR="00E90E49" w:rsidRPr="008F7478" w:rsidRDefault="00E90E49" w:rsidP="00311702">
      <w:pPr>
        <w:pStyle w:val="3GPPHeader"/>
        <w:rPr>
          <w:sz w:val="22"/>
          <w:szCs w:val="22"/>
          <w:lang w:val="en-US"/>
        </w:rPr>
      </w:pPr>
      <w:r w:rsidRPr="008F7478">
        <w:rPr>
          <w:sz w:val="22"/>
          <w:szCs w:val="22"/>
          <w:lang w:val="en-US"/>
        </w:rPr>
        <w:t>Agenda Item:</w:t>
      </w:r>
      <w:r w:rsidRPr="008F7478">
        <w:rPr>
          <w:sz w:val="22"/>
          <w:szCs w:val="22"/>
          <w:lang w:val="en-US"/>
        </w:rPr>
        <w:tab/>
      </w:r>
      <w:r w:rsidR="008F7478" w:rsidRPr="008F7478">
        <w:rPr>
          <w:sz w:val="22"/>
          <w:szCs w:val="22"/>
          <w:lang w:val="en-US"/>
        </w:rPr>
        <w:t>7</w:t>
      </w:r>
      <w:r w:rsidR="008F7478">
        <w:rPr>
          <w:sz w:val="22"/>
          <w:szCs w:val="22"/>
          <w:lang w:val="en-US"/>
        </w:rPr>
        <w:t>.1.1</w:t>
      </w:r>
    </w:p>
    <w:p w14:paraId="108B288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9DDFD7" w14:textId="61031DE8" w:rsidR="00E90E49" w:rsidRPr="00CE0424" w:rsidRDefault="003D3C45" w:rsidP="00311702">
      <w:pPr>
        <w:pStyle w:val="3GPPHeader"/>
        <w:rPr>
          <w:sz w:val="22"/>
          <w:szCs w:val="22"/>
        </w:rPr>
      </w:pPr>
      <w:r>
        <w:rPr>
          <w:sz w:val="22"/>
          <w:szCs w:val="22"/>
        </w:rPr>
        <w:t>Title:</w:t>
      </w:r>
      <w:r w:rsidR="00E90E49" w:rsidRPr="00CE0424">
        <w:rPr>
          <w:sz w:val="22"/>
          <w:szCs w:val="22"/>
        </w:rPr>
        <w:tab/>
      </w:r>
      <w:r w:rsidR="008F7478">
        <w:rPr>
          <w:sz w:val="22"/>
          <w:szCs w:val="22"/>
        </w:rPr>
        <w:t xml:space="preserve">On </w:t>
      </w:r>
      <w:r w:rsidR="00362CEA">
        <w:rPr>
          <w:sz w:val="22"/>
          <w:szCs w:val="22"/>
        </w:rPr>
        <w:t xml:space="preserve">the </w:t>
      </w:r>
      <w:r w:rsidR="008F7478">
        <w:rPr>
          <w:sz w:val="22"/>
          <w:szCs w:val="22"/>
        </w:rPr>
        <w:t>RLM indication interval in DRX</w:t>
      </w:r>
    </w:p>
    <w:p w14:paraId="54A1021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81985">
        <w:rPr>
          <w:sz w:val="22"/>
          <w:szCs w:val="22"/>
        </w:rPr>
        <w:t>Discussion, Decision</w:t>
      </w:r>
    </w:p>
    <w:p w14:paraId="3FD8FA2D" w14:textId="77777777" w:rsidR="00E90E49" w:rsidRPr="00CE0424" w:rsidRDefault="00E90E49" w:rsidP="00E90E49"/>
    <w:p w14:paraId="02026C70" w14:textId="77777777" w:rsidR="00E90E49" w:rsidRPr="00CE0424" w:rsidRDefault="00230D18" w:rsidP="00CE0424">
      <w:pPr>
        <w:pStyle w:val="Heading1"/>
      </w:pPr>
      <w:r>
        <w:t>1</w:t>
      </w:r>
      <w:r>
        <w:tab/>
      </w:r>
      <w:r w:rsidR="00E90E49" w:rsidRPr="00CE0424">
        <w:t>Introduction</w:t>
      </w:r>
    </w:p>
    <w:p w14:paraId="3206C13B" w14:textId="788DE4D4" w:rsidR="00477768" w:rsidRDefault="009E5145" w:rsidP="00CE0424">
      <w:pPr>
        <w:pStyle w:val="BodyText"/>
      </w:pPr>
      <w:r>
        <w:t xml:space="preserve">In </w:t>
      </w:r>
      <w:r>
        <w:fldChar w:fldCharType="begin"/>
      </w:r>
      <w:r>
        <w:instrText xml:space="preserve"> REF _Ref23843942 \r \h </w:instrText>
      </w:r>
      <w:r>
        <w:fldChar w:fldCharType="separate"/>
      </w:r>
      <w:r>
        <w:t>[1]</w:t>
      </w:r>
      <w:r>
        <w:fldChar w:fldCharType="end"/>
      </w:r>
      <w:r>
        <w:t>, it was identified that the 38.213 and 38.133 provide different descriptions of</w:t>
      </w:r>
      <w:r w:rsidR="005D3801">
        <w:t xml:space="preserve"> the indication interval for RLM in DRX. </w:t>
      </w:r>
    </w:p>
    <w:p w14:paraId="76909DC9" w14:textId="3832F8D7" w:rsidR="005D3801" w:rsidRPr="00CE0424" w:rsidRDefault="002C7D9A" w:rsidP="00CE0424">
      <w:pPr>
        <w:pStyle w:val="BodyText"/>
      </w:pPr>
      <w:r>
        <w:t xml:space="preserve">This contribution </w:t>
      </w:r>
      <w:r w:rsidR="00233C53">
        <w:t>proposes</w:t>
      </w:r>
      <w:r>
        <w:t xml:space="preserve"> a way to resolve the difference.</w:t>
      </w:r>
    </w:p>
    <w:p w14:paraId="482FC549" w14:textId="4370690D" w:rsidR="004000E8" w:rsidRDefault="00230D18" w:rsidP="00CE0424">
      <w:pPr>
        <w:pStyle w:val="Heading1"/>
      </w:pPr>
      <w:bookmarkStart w:id="1" w:name="_Ref178064866"/>
      <w:r>
        <w:t>2</w:t>
      </w:r>
      <w:r>
        <w:tab/>
      </w:r>
      <w:r w:rsidR="004000E8" w:rsidRPr="00CE0424">
        <w:t>Discussion</w:t>
      </w:r>
      <w:bookmarkEnd w:id="1"/>
    </w:p>
    <w:p w14:paraId="674A6D3C" w14:textId="496D6552" w:rsidR="002C7D9A" w:rsidRDefault="002C7D9A" w:rsidP="002C7D9A">
      <w:pPr>
        <w:pStyle w:val="BodyText"/>
      </w:pPr>
      <w:r>
        <w:t xml:space="preserve">In </w:t>
      </w:r>
      <w:r>
        <w:fldChar w:fldCharType="begin"/>
      </w:r>
      <w:r>
        <w:instrText xml:space="preserve"> REF _Ref23843942 \r \h </w:instrText>
      </w:r>
      <w:r>
        <w:fldChar w:fldCharType="separate"/>
      </w:r>
      <w:r>
        <w:t>[1]</w:t>
      </w:r>
      <w:r>
        <w:fldChar w:fldCharType="end"/>
      </w:r>
      <w:r>
        <w:t xml:space="preserve">, it was identified that the 38.213 and 38.133 provide different descriptions of the indication interval for RLM in DRX. </w:t>
      </w:r>
      <w:r w:rsidR="00D65576">
        <w:t>There is thus a need to align the specifications.</w:t>
      </w:r>
    </w:p>
    <w:p w14:paraId="4A7AE25A" w14:textId="768F9979" w:rsidR="002C7D9A" w:rsidRDefault="002C7D9A" w:rsidP="002C7D9A">
      <w:pPr>
        <w:pStyle w:val="BodyText"/>
      </w:pPr>
      <w:r>
        <w:t>In 38.213, section 5, it is stated that</w:t>
      </w:r>
    </w:p>
    <w:p w14:paraId="7DFFAB18" w14:textId="2A69017A" w:rsidR="002C7D9A" w:rsidRDefault="002C7D9A" w:rsidP="002C7D9A">
      <w:pPr>
        <w:pStyle w:val="BodyText"/>
      </w:pPr>
      <w:r>
        <w:rPr>
          <w:noProof/>
        </w:rPr>
        <mc:AlternateContent>
          <mc:Choice Requires="wps">
            <w:drawing>
              <wp:inline distT="0" distB="0" distL="0" distR="0" wp14:anchorId="7C21EE0E" wp14:editId="308A2267">
                <wp:extent cx="6153150" cy="1724025"/>
                <wp:effectExtent l="0" t="0" r="19050" b="10160"/>
                <wp:docPr id="1" name="Text Box 1"/>
                <wp:cNvGraphicFramePr/>
                <a:graphic xmlns:a="http://schemas.openxmlformats.org/drawingml/2006/main">
                  <a:graphicData uri="http://schemas.microsoft.com/office/word/2010/wordprocessingShape">
                    <wps:wsp>
                      <wps:cNvSpPr txBox="1"/>
                      <wps:spPr>
                        <a:xfrm>
                          <a:off x="0" y="0"/>
                          <a:ext cx="6153150" cy="1724025"/>
                        </a:xfrm>
                        <a:prstGeom prst="rect">
                          <a:avLst/>
                        </a:prstGeom>
                        <a:solidFill>
                          <a:schemeClr val="lt1"/>
                        </a:solidFill>
                        <a:ln w="6350">
                          <a:solidFill>
                            <a:prstClr val="black"/>
                          </a:solidFill>
                        </a:ln>
                      </wps:spPr>
                      <wps:txbx>
                        <w:txbxContent>
                          <w:p w14:paraId="517021C2" w14:textId="3FAEA7D2" w:rsidR="002C7D9A" w:rsidRDefault="002C7D9A">
                            <w:r w:rsidRPr="00B916EC">
                              <w:t>In DRX mode operation, the physical layer in the UE assess</w:t>
                            </w:r>
                            <w:r>
                              <w:t>es</w:t>
                            </w:r>
                            <w:r w:rsidRPr="00B916EC">
                              <w:t xml:space="preserve"> </w:t>
                            </w:r>
                            <w:r>
                              <w:t xml:space="preserve">once per indication period </w:t>
                            </w:r>
                            <w:r w:rsidRPr="00B916EC">
                              <w:t>the radio link quality, evaluated over the previous time period defined in [10, TS 38.133], against thresholds (</w:t>
                            </w:r>
                            <w:proofErr w:type="spellStart"/>
                            <w:r w:rsidRPr="00B916EC">
                              <w:t>Q</w:t>
                            </w:r>
                            <w:r w:rsidRPr="00B916EC">
                              <w:rPr>
                                <w:vertAlign w:val="subscript"/>
                              </w:rPr>
                              <w:t>out</w:t>
                            </w:r>
                            <w:proofErr w:type="spellEnd"/>
                            <w:r w:rsidRPr="00B916EC">
                              <w:t xml:space="preserve"> and Q</w:t>
                            </w:r>
                            <w:r w:rsidRPr="00B916EC">
                              <w:rPr>
                                <w:vertAlign w:val="subscript"/>
                              </w:rPr>
                              <w:t>in</w:t>
                            </w:r>
                            <w:r w:rsidRPr="00B916EC">
                              <w:t>)</w:t>
                            </w:r>
                            <w:r>
                              <w:t xml:space="preserve"> </w:t>
                            </w:r>
                            <w:r w:rsidRPr="0030569D">
                              <w:t>provid</w:t>
                            </w:r>
                            <w:r w:rsidRPr="002B36D8">
                              <w:t xml:space="preserve">ed by </w:t>
                            </w:r>
                            <w:proofErr w:type="spellStart"/>
                            <w:r w:rsidRPr="001A0EDF">
                              <w:rPr>
                                <w:i/>
                              </w:rPr>
                              <w:t>rlmInSyncOutOfSyncThreshold</w:t>
                            </w:r>
                            <w:proofErr w:type="spellEnd"/>
                            <w:r w:rsidRPr="00B916EC">
                              <w:t xml:space="preserve">. </w:t>
                            </w:r>
                            <w:r>
                              <w:t>The UE determines the indication period as</w:t>
                            </w:r>
                            <w:r w:rsidRPr="00034AF1">
                              <w:rPr>
                                <w:lang w:val="en-US"/>
                              </w:rPr>
                              <w:t xml:space="preserve"> the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the DRX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C21EE0E" id="_x0000_t202" coordsize="21600,21600" o:spt="202" path="m,l,21600r21600,l21600,xe">
                <v:stroke joinstyle="miter"/>
                <v:path gradientshapeok="t" o:connecttype="rect"/>
              </v:shapetype>
              <v:shape id="Text Box 1" o:spid="_x0000_s1026" type="#_x0000_t202" style="width:484.5pt;height:1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" fillcolor="white [3201]" strokeweight=".5pt">
                <v:textbox style="mso-fit-shape-to-text:t">
                  <w:txbxContent>
                    <w:p w14:paraId="517021C2" w14:textId="3FAEA7D2" w:rsidR="002C7D9A" w:rsidRDefault="002C7D9A">
                      <w:r w:rsidRPr="00B916EC">
                        <w:t>In DRX mode operation, the physical layer in the UE assess</w:t>
                      </w:r>
                      <w:r>
                        <w:t>es</w:t>
                      </w:r>
                      <w:r w:rsidRPr="00B916EC">
                        <w:t xml:space="preserve"> </w:t>
                      </w:r>
                      <w:r>
                        <w:t xml:space="preserve">once per indication period </w:t>
                      </w:r>
                      <w:r w:rsidRPr="00B916EC">
                        <w:t>the radio link quality, evaluated over the previous time period defined in [10, TS 38.133], against thresholds (</w:t>
                      </w:r>
                      <w:proofErr w:type="spellStart"/>
                      <w:r w:rsidRPr="00B916EC">
                        <w:t>Q</w:t>
                      </w:r>
                      <w:r w:rsidRPr="00B916EC">
                        <w:rPr>
                          <w:vertAlign w:val="subscript"/>
                        </w:rPr>
                        <w:t>out</w:t>
                      </w:r>
                      <w:proofErr w:type="spellEnd"/>
                      <w:r w:rsidRPr="00B916EC">
                        <w:t xml:space="preserve"> and Q</w:t>
                      </w:r>
                      <w:r w:rsidRPr="00B916EC">
                        <w:rPr>
                          <w:vertAlign w:val="subscript"/>
                        </w:rPr>
                        <w:t>in</w:t>
                      </w:r>
                      <w:r w:rsidRPr="00B916EC">
                        <w:t>)</w:t>
                      </w:r>
                      <w:r>
                        <w:t xml:space="preserve"> </w:t>
                      </w:r>
                      <w:r w:rsidRPr="0030569D">
                        <w:t>provid</w:t>
                      </w:r>
                      <w:r w:rsidRPr="002B36D8">
                        <w:t xml:space="preserve">ed by </w:t>
                      </w:r>
                      <w:proofErr w:type="spellStart"/>
                      <w:r w:rsidRPr="001A0EDF">
                        <w:rPr>
                          <w:i/>
                        </w:rPr>
                        <w:t>rlmInSyncOutOfSyncThreshold</w:t>
                      </w:r>
                      <w:proofErr w:type="spellEnd"/>
                      <w:r w:rsidRPr="00B916EC">
                        <w:t xml:space="preserve">. </w:t>
                      </w:r>
                      <w:r>
                        <w:t>The UE determines the indication period as</w:t>
                      </w:r>
                      <w:r w:rsidRPr="00034AF1">
                        <w:rPr>
                          <w:lang w:val="en-US"/>
                        </w:rPr>
                        <w:t xml:space="preserve"> the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the DRX period.</w:t>
                      </w:r>
                    </w:p>
                  </w:txbxContent>
                </v:textbox>
                <w10:anchorlock/>
              </v:shape>
            </w:pict>
          </mc:Fallback>
        </mc:AlternateContent>
      </w:r>
    </w:p>
    <w:p w14:paraId="0305C846" w14:textId="50902A99" w:rsidR="00182062" w:rsidRDefault="00182062" w:rsidP="002C7D9A">
      <w:pPr>
        <w:pStyle w:val="BodyText"/>
      </w:pPr>
      <w:r>
        <w:t>This specification text was endorsed already in the initial version of 38.213.</w:t>
      </w:r>
      <w:r w:rsidR="00600B1E">
        <w:t xml:space="preserve"> (v.0.1.2).</w:t>
      </w:r>
      <w:r>
        <w:t xml:space="preserve"> Also, in RAN1#91, the following </w:t>
      </w:r>
      <w:r w:rsidR="00600B1E">
        <w:t xml:space="preserve">conclusion </w:t>
      </w:r>
      <w:r>
        <w:t xml:space="preserve">was </w:t>
      </w:r>
      <w:r w:rsidR="00600B1E">
        <w:t>drawn:</w:t>
      </w:r>
    </w:p>
    <w:p w14:paraId="45BF17F5" w14:textId="1EDC9E9F" w:rsidR="00600B1E" w:rsidRDefault="00600B1E" w:rsidP="002C7D9A">
      <w:pPr>
        <w:pStyle w:val="BodyText"/>
      </w:pPr>
      <w:r>
        <w:rPr>
          <w:noProof/>
        </w:rPr>
        <mc:AlternateContent>
          <mc:Choice Requires="wps">
            <w:drawing>
              <wp:inline distT="0" distB="0" distL="0" distR="0" wp14:anchorId="10BDFE19" wp14:editId="63C9D1BB">
                <wp:extent cx="6105525" cy="1733550"/>
                <wp:effectExtent l="0" t="0" r="28575" b="16510"/>
                <wp:docPr id="5" name="Text Box 5"/>
                <wp:cNvGraphicFramePr/>
                <a:graphic xmlns:a="http://schemas.openxmlformats.org/drawingml/2006/main">
                  <a:graphicData uri="http://schemas.microsoft.com/office/word/2010/wordprocessingShape">
                    <wps:wsp>
                      <wps:cNvSpPr txBox="1"/>
                      <wps:spPr>
                        <a:xfrm>
                          <a:off x="0" y="0"/>
                          <a:ext cx="6105525" cy="1733550"/>
                        </a:xfrm>
                        <a:prstGeom prst="rect">
                          <a:avLst/>
                        </a:prstGeom>
                        <a:solidFill>
                          <a:schemeClr val="lt1"/>
                        </a:solidFill>
                        <a:ln w="6350">
                          <a:solidFill>
                            <a:prstClr val="black"/>
                          </a:solidFill>
                        </a:ln>
                      </wps:spPr>
                      <wps:txbx>
                        <w:txbxContent>
                          <w:p w14:paraId="58451A6D" w14:textId="77777777" w:rsidR="00600B1E" w:rsidRPr="00600B1E" w:rsidRDefault="00600B1E" w:rsidP="00600B1E">
                            <w:pPr>
                              <w:rPr>
                                <w:lang w:eastAsia="ko-KR"/>
                              </w:rPr>
                            </w:pPr>
                            <w:r w:rsidRPr="00600B1E">
                              <w:rPr>
                                <w:u w:val="single"/>
                                <w:lang w:eastAsia="ko-KR"/>
                              </w:rPr>
                              <w:t>Conclusion</w:t>
                            </w:r>
                            <w:r w:rsidRPr="00600B1E">
                              <w:rPr>
                                <w:lang w:eastAsia="ko-KR"/>
                              </w:rPr>
                              <w:t>:</w:t>
                            </w:r>
                          </w:p>
                          <w:p w14:paraId="6E13BA4F" w14:textId="77777777" w:rsidR="00600B1E" w:rsidRPr="00600B1E" w:rsidRDefault="00600B1E" w:rsidP="00600B1E">
                            <w:pPr>
                              <w:pStyle w:val="ListParagraph"/>
                              <w:numPr>
                                <w:ilvl w:val="0"/>
                                <w:numId w:val="23"/>
                              </w:numPr>
                              <w:rPr>
                                <w:rFonts w:ascii="Times New Roman" w:eastAsia="Times New Roman" w:hAnsi="Times New Roman"/>
                                <w:sz w:val="20"/>
                                <w:szCs w:val="20"/>
                                <w:lang w:eastAsia="ko-KR"/>
                              </w:rPr>
                            </w:pPr>
                            <w:r w:rsidRPr="00600B1E">
                              <w:rPr>
                                <w:rFonts w:ascii="Times New Roman" w:eastAsia="Times New Roman" w:hAnsi="Times New Roman"/>
                                <w:sz w:val="20"/>
                                <w:szCs w:val="20"/>
                                <w:lang w:eastAsia="ko-KR"/>
                              </w:rPr>
                              <w:t xml:space="preserve">RLM measurement evaluation period for RLM is up to RAN4. </w:t>
                            </w:r>
                          </w:p>
                          <w:p w14:paraId="5B56753D" w14:textId="3BE032E8" w:rsidR="00600B1E" w:rsidRPr="00600B1E" w:rsidRDefault="00600B1E" w:rsidP="00600B1E">
                            <w:pPr>
                              <w:pStyle w:val="ListParagraph"/>
                              <w:numPr>
                                <w:ilvl w:val="0"/>
                                <w:numId w:val="23"/>
                              </w:numPr>
                              <w:rPr>
                                <w:rFonts w:ascii="Times New Roman" w:eastAsia="Times New Roman" w:hAnsi="Times New Roman"/>
                                <w:sz w:val="20"/>
                                <w:szCs w:val="20"/>
                                <w:lang w:eastAsia="ko-KR"/>
                              </w:rPr>
                            </w:pPr>
                            <w:r w:rsidRPr="00600B1E">
                              <w:rPr>
                                <w:rFonts w:ascii="Times New Roman" w:eastAsia="Times New Roman" w:hAnsi="Times New Roman"/>
                                <w:sz w:val="20"/>
                                <w:szCs w:val="20"/>
                                <w:lang w:eastAsia="ko-KR"/>
                              </w:rPr>
                              <w:t>No further discussion necessary in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0BDFE19" id="Text Box 5" o:spid="_x0000_s1027" type="#_x0000_t202" style="width:480.75pt;height:1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" fillcolor="white [3201]" strokeweight=".5pt">
                <v:textbox style="mso-fit-shape-to-text:t">
                  <w:txbxContent>
                    <w:p w14:paraId="58451A6D" w14:textId="77777777" w:rsidR="00600B1E" w:rsidRPr="00600B1E" w:rsidRDefault="00600B1E" w:rsidP="00600B1E">
                      <w:pPr>
                        <w:rPr>
                          <w:lang w:eastAsia="ko-KR"/>
                        </w:rPr>
                      </w:pPr>
                      <w:r w:rsidRPr="00600B1E">
                        <w:rPr>
                          <w:u w:val="single"/>
                          <w:lang w:eastAsia="ko-KR"/>
                        </w:rPr>
                        <w:t>Conclusion</w:t>
                      </w:r>
                      <w:r w:rsidRPr="00600B1E">
                        <w:rPr>
                          <w:lang w:eastAsia="ko-KR"/>
                        </w:rPr>
                        <w:t>:</w:t>
                      </w:r>
                    </w:p>
                    <w:p w14:paraId="6E13BA4F" w14:textId="77777777" w:rsidR="00600B1E" w:rsidRPr="00600B1E" w:rsidRDefault="00600B1E" w:rsidP="00600B1E">
                      <w:pPr>
                        <w:pStyle w:val="ListParagraph"/>
                        <w:numPr>
                          <w:ilvl w:val="0"/>
                          <w:numId w:val="23"/>
                        </w:numPr>
                        <w:rPr>
                          <w:rFonts w:ascii="Times New Roman" w:eastAsia="Times New Roman" w:hAnsi="Times New Roman"/>
                          <w:sz w:val="20"/>
                          <w:szCs w:val="20"/>
                          <w:lang w:eastAsia="ko-KR"/>
                        </w:rPr>
                      </w:pPr>
                      <w:r w:rsidRPr="00600B1E">
                        <w:rPr>
                          <w:rFonts w:ascii="Times New Roman" w:eastAsia="Times New Roman" w:hAnsi="Times New Roman"/>
                          <w:sz w:val="20"/>
                          <w:szCs w:val="20"/>
                          <w:lang w:eastAsia="ko-KR"/>
                        </w:rPr>
                        <w:t xml:space="preserve">RLM measurement evaluation period for RLM is up to RAN4. </w:t>
                      </w:r>
                    </w:p>
                    <w:p w14:paraId="5B56753D" w14:textId="3BE032E8" w:rsidR="00600B1E" w:rsidRPr="00600B1E" w:rsidRDefault="00600B1E" w:rsidP="00600B1E">
                      <w:pPr>
                        <w:pStyle w:val="ListParagraph"/>
                        <w:numPr>
                          <w:ilvl w:val="0"/>
                          <w:numId w:val="23"/>
                        </w:numPr>
                        <w:rPr>
                          <w:rFonts w:ascii="Times New Roman" w:eastAsia="Times New Roman" w:hAnsi="Times New Roman"/>
                          <w:sz w:val="20"/>
                          <w:szCs w:val="20"/>
                          <w:lang w:eastAsia="ko-KR"/>
                        </w:rPr>
                      </w:pPr>
                      <w:r w:rsidRPr="00600B1E">
                        <w:rPr>
                          <w:rFonts w:ascii="Times New Roman" w:eastAsia="Times New Roman" w:hAnsi="Times New Roman"/>
                          <w:sz w:val="20"/>
                          <w:szCs w:val="20"/>
                          <w:lang w:eastAsia="ko-KR"/>
                        </w:rPr>
                        <w:t>No further discussion necessary in RAN1.</w:t>
                      </w:r>
                    </w:p>
                  </w:txbxContent>
                </v:textbox>
                <w10:anchorlock/>
              </v:shape>
            </w:pict>
          </mc:Fallback>
        </mc:AlternateContent>
      </w:r>
    </w:p>
    <w:p w14:paraId="79B62487" w14:textId="77777777" w:rsidR="00D65576" w:rsidRDefault="00600B1E" w:rsidP="002C7D9A">
      <w:pPr>
        <w:pStyle w:val="BodyText"/>
      </w:pPr>
      <w:r>
        <w:t xml:space="preserve">RAN1 thus decided on indication </w:t>
      </w:r>
      <w:r w:rsidR="00D65576">
        <w:t>period but</w:t>
      </w:r>
      <w:r>
        <w:t xml:space="preserve"> left the evaluation period to RAN4. </w:t>
      </w:r>
    </w:p>
    <w:p w14:paraId="196A6529" w14:textId="105DCE0B" w:rsidR="002C7D9A" w:rsidRDefault="002C7D9A" w:rsidP="002C7D9A">
      <w:pPr>
        <w:pStyle w:val="BodyText"/>
      </w:pPr>
      <w:r>
        <w:t>In 38.133, section 8.1.6, it is stated that</w:t>
      </w:r>
    </w:p>
    <w:p w14:paraId="180BD3EC" w14:textId="0D9C2A15" w:rsidR="002C7D9A" w:rsidRDefault="002C7D9A" w:rsidP="002C7D9A">
      <w:pPr>
        <w:pStyle w:val="BodyText"/>
      </w:pPr>
      <w:r>
        <w:rPr>
          <w:noProof/>
        </w:rPr>
        <mc:AlternateContent>
          <mc:Choice Requires="wps">
            <w:drawing>
              <wp:inline distT="0" distB="0" distL="0" distR="0" wp14:anchorId="1ED15B3B" wp14:editId="74A723EE">
                <wp:extent cx="6105525" cy="1733550"/>
                <wp:effectExtent l="0" t="0" r="28575" b="16510"/>
                <wp:docPr id="2" name="Text Box 2"/>
                <wp:cNvGraphicFramePr/>
                <a:graphic xmlns:a="http://schemas.openxmlformats.org/drawingml/2006/main">
                  <a:graphicData uri="http://schemas.microsoft.com/office/word/2010/wordprocessingShape">
                    <wps:wsp>
                      <wps:cNvSpPr txBox="1"/>
                      <wps:spPr>
                        <a:xfrm>
                          <a:off x="0" y="0"/>
                          <a:ext cx="6105525" cy="1733550"/>
                        </a:xfrm>
                        <a:prstGeom prst="rect">
                          <a:avLst/>
                        </a:prstGeom>
                        <a:solidFill>
                          <a:schemeClr val="lt1"/>
                        </a:solidFill>
                        <a:ln w="6350">
                          <a:solidFill>
                            <a:prstClr val="black"/>
                          </a:solidFill>
                        </a:ln>
                      </wps:spPr>
                      <wps:txbx>
                        <w:txbxContent>
                          <w:p w14:paraId="4892D289" w14:textId="1707C414" w:rsidR="002C7D9A" w:rsidRPr="002C7D9A" w:rsidRDefault="002C7D9A">
                            <w:pPr>
                              <w:rPr>
                                <w:rFonts w:eastAsia="MS Mincho"/>
                              </w:rPr>
                            </w:pPr>
                            <w:r>
                              <w:rPr>
                                <w:rFonts w:cs="v4.2.0"/>
                              </w:rPr>
                              <w:t xml:space="preserve">In case DRX is used, </w:t>
                            </w:r>
                            <w:proofErr w:type="spellStart"/>
                            <w:r>
                              <w:rPr>
                                <w:rFonts w:cs="v4.2.0"/>
                              </w:rPr>
                              <w:t>T</w:t>
                            </w:r>
                            <w:r>
                              <w:rPr>
                                <w:rFonts w:cs="v4.2.0"/>
                                <w:vertAlign w:val="subscript"/>
                              </w:rPr>
                              <w:t>Indication_interval</w:t>
                            </w:r>
                            <w:proofErr w:type="spellEnd"/>
                            <w:r>
                              <w:rPr>
                                <w:rFonts w:cs="v4.2.0"/>
                              </w:rPr>
                              <w:t xml:space="preserve"> is </w:t>
                            </w:r>
                            <w:proofErr w:type="gramStart"/>
                            <w:r>
                              <w:rPr>
                                <w:rFonts w:cs="v4.2.0"/>
                              </w:rPr>
                              <w:t>Max(</w:t>
                            </w:r>
                            <w:proofErr w:type="gramEnd"/>
                            <w:r>
                              <w:rPr>
                                <w:rFonts w:cs="v4.2.0"/>
                              </w:rPr>
                              <w:t>10ms, 1.5*</w:t>
                            </w:r>
                            <w:proofErr w:type="spellStart"/>
                            <w:r>
                              <w:rPr>
                                <w:rFonts w:cs="v4.2.0"/>
                              </w:rPr>
                              <w:t>DRX_cycle_length</w:t>
                            </w:r>
                            <w:proofErr w:type="spellEnd"/>
                            <w:r>
                              <w:rPr>
                                <w:rFonts w:cs="v4.2.0"/>
                              </w:rPr>
                              <w:t>, 1.5*T</w:t>
                            </w:r>
                            <w:r>
                              <w:rPr>
                                <w:rFonts w:cs="v4.2.0"/>
                                <w:vertAlign w:val="subscript"/>
                              </w:rPr>
                              <w:t>RLM-RS,M</w:t>
                            </w:r>
                            <w:r>
                              <w:rPr>
                                <w:rFonts w:cs="v4.2.0"/>
                              </w:rPr>
                              <w:t xml:space="preserve">) if DRX </w:t>
                            </w:r>
                            <w:proofErr w:type="spellStart"/>
                            <w:r>
                              <w:rPr>
                                <w:rFonts w:cs="v4.2.0"/>
                              </w:rPr>
                              <w:t>cycle_length</w:t>
                            </w:r>
                            <w:proofErr w:type="spellEnd"/>
                            <w:r>
                              <w:rPr>
                                <w:rFonts w:cs="v4.2.0"/>
                              </w:rPr>
                              <w:t xml:space="preserve"> is less than or equal to 320ms, and </w:t>
                            </w:r>
                            <w:proofErr w:type="spellStart"/>
                            <w:r>
                              <w:rPr>
                                <w:rFonts w:cs="v4.2.0"/>
                              </w:rPr>
                              <w:t>T</w:t>
                            </w:r>
                            <w:r>
                              <w:rPr>
                                <w:rFonts w:cs="v4.2.0"/>
                                <w:vertAlign w:val="subscript"/>
                              </w:rPr>
                              <w:t>Indication_interval</w:t>
                            </w:r>
                            <w:proofErr w:type="spellEnd"/>
                            <w:r>
                              <w:rPr>
                                <w:rFonts w:cs="v4.2.0"/>
                              </w:rPr>
                              <w:t xml:space="preserve"> is </w:t>
                            </w:r>
                            <w:proofErr w:type="spellStart"/>
                            <w:r>
                              <w:rPr>
                                <w:rFonts w:cs="v4.2.0"/>
                              </w:rPr>
                              <w:t>DRX_cycle_length</w:t>
                            </w:r>
                            <w:proofErr w:type="spellEnd"/>
                            <w:r>
                              <w:rPr>
                                <w:rFonts w:cs="v4.2.0"/>
                              </w:rPr>
                              <w:t xml:space="preserve"> if DRX </w:t>
                            </w:r>
                            <w:proofErr w:type="spellStart"/>
                            <w:r>
                              <w:rPr>
                                <w:rFonts w:cs="v4.2.0"/>
                              </w:rPr>
                              <w:t>cycle_length</w:t>
                            </w:r>
                            <w:proofErr w:type="spellEnd"/>
                            <w:r>
                              <w:rPr>
                                <w:rFonts w:cs="v4.2.0"/>
                              </w:rPr>
                              <w:t xml:space="preserve"> is greater than 320ms. Upon start of T310 timer as specified in </w:t>
                            </w:r>
                            <w:r>
                              <w:t>TS 38.331 </w:t>
                            </w:r>
                            <w:r>
                              <w:rPr>
                                <w:rFonts w:cs="v4.2.0"/>
                              </w:rPr>
                              <w:t>[2], the UE shall monitor the configured RLM-RS resources for recovery using the evaluation period and layer 1 indication interval corresponding to the no DRX mode until the expiry or stop of T310 timer.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ED15B3B" id="Text Box 2" o:spid="_x0000_s1028" type="#_x0000_t202" style="width:480.75pt;height:1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" fillcolor="white [3201]" strokeweight=".5pt">
                <v:textbox style="mso-fit-shape-to-text:t">
                  <w:txbxContent>
                    <w:p w14:paraId="4892D289" w14:textId="1707C414" w:rsidR="002C7D9A" w:rsidRPr="002C7D9A" w:rsidRDefault="002C7D9A">
                      <w:pPr>
                        <w:rPr>
                          <w:rFonts w:eastAsia="MS Mincho"/>
                        </w:rPr>
                      </w:pPr>
                      <w:r>
                        <w:rPr>
                          <w:rFonts w:cs="v4.2.0"/>
                        </w:rPr>
                        <w:t xml:space="preserve">In case DRX is used, </w:t>
                      </w:r>
                      <w:proofErr w:type="spellStart"/>
                      <w:r>
                        <w:rPr>
                          <w:rFonts w:cs="v4.2.0"/>
                        </w:rPr>
                        <w:t>T</w:t>
                      </w:r>
                      <w:r>
                        <w:rPr>
                          <w:rFonts w:cs="v4.2.0"/>
                          <w:vertAlign w:val="subscript"/>
                        </w:rPr>
                        <w:t>Indication_interval</w:t>
                      </w:r>
                      <w:proofErr w:type="spellEnd"/>
                      <w:r>
                        <w:rPr>
                          <w:rFonts w:cs="v4.2.0"/>
                        </w:rPr>
                        <w:t xml:space="preserve"> is </w:t>
                      </w:r>
                      <w:proofErr w:type="gramStart"/>
                      <w:r>
                        <w:rPr>
                          <w:rFonts w:cs="v4.2.0"/>
                        </w:rPr>
                        <w:t>Max(</w:t>
                      </w:r>
                      <w:proofErr w:type="gramEnd"/>
                      <w:r>
                        <w:rPr>
                          <w:rFonts w:cs="v4.2.0"/>
                        </w:rPr>
                        <w:t>10ms, 1.5*</w:t>
                      </w:r>
                      <w:proofErr w:type="spellStart"/>
                      <w:r>
                        <w:rPr>
                          <w:rFonts w:cs="v4.2.0"/>
                        </w:rPr>
                        <w:t>DRX_cycle_length</w:t>
                      </w:r>
                      <w:proofErr w:type="spellEnd"/>
                      <w:r>
                        <w:rPr>
                          <w:rFonts w:cs="v4.2.0"/>
                        </w:rPr>
                        <w:t>, 1.5*T</w:t>
                      </w:r>
                      <w:r>
                        <w:rPr>
                          <w:rFonts w:cs="v4.2.0"/>
                          <w:vertAlign w:val="subscript"/>
                        </w:rPr>
                        <w:t>RLM-RS,M</w:t>
                      </w:r>
                      <w:r>
                        <w:rPr>
                          <w:rFonts w:cs="v4.2.0"/>
                        </w:rPr>
                        <w:t xml:space="preserve">) if DRX </w:t>
                      </w:r>
                      <w:proofErr w:type="spellStart"/>
                      <w:r>
                        <w:rPr>
                          <w:rFonts w:cs="v4.2.0"/>
                        </w:rPr>
                        <w:t>cycle_length</w:t>
                      </w:r>
                      <w:proofErr w:type="spellEnd"/>
                      <w:r>
                        <w:rPr>
                          <w:rFonts w:cs="v4.2.0"/>
                        </w:rPr>
                        <w:t xml:space="preserve"> is less than or equal to 320ms, and </w:t>
                      </w:r>
                      <w:proofErr w:type="spellStart"/>
                      <w:r>
                        <w:rPr>
                          <w:rFonts w:cs="v4.2.0"/>
                        </w:rPr>
                        <w:t>T</w:t>
                      </w:r>
                      <w:r>
                        <w:rPr>
                          <w:rFonts w:cs="v4.2.0"/>
                          <w:vertAlign w:val="subscript"/>
                        </w:rPr>
                        <w:t>Indication_interval</w:t>
                      </w:r>
                      <w:proofErr w:type="spellEnd"/>
                      <w:r>
                        <w:rPr>
                          <w:rFonts w:cs="v4.2.0"/>
                        </w:rPr>
                        <w:t xml:space="preserve"> is </w:t>
                      </w:r>
                      <w:proofErr w:type="spellStart"/>
                      <w:r>
                        <w:rPr>
                          <w:rFonts w:cs="v4.2.0"/>
                        </w:rPr>
                        <w:t>DRX_cycle_length</w:t>
                      </w:r>
                      <w:proofErr w:type="spellEnd"/>
                      <w:r>
                        <w:rPr>
                          <w:rFonts w:cs="v4.2.0"/>
                        </w:rPr>
                        <w:t xml:space="preserve"> if DRX </w:t>
                      </w:r>
                      <w:proofErr w:type="spellStart"/>
                      <w:r>
                        <w:rPr>
                          <w:rFonts w:cs="v4.2.0"/>
                        </w:rPr>
                        <w:t>cycle_length</w:t>
                      </w:r>
                      <w:proofErr w:type="spellEnd"/>
                      <w:r>
                        <w:rPr>
                          <w:rFonts w:cs="v4.2.0"/>
                        </w:rPr>
                        <w:t xml:space="preserve"> is greater than 320ms. Upon start of T310 timer as specified in </w:t>
                      </w:r>
                      <w:r>
                        <w:t>TS 38.331 </w:t>
                      </w:r>
                      <w:r>
                        <w:rPr>
                          <w:rFonts w:cs="v4.2.0"/>
                        </w:rPr>
                        <w:t>[2], the UE shall monitor the configured RLM-RS resources for recovery using the evaluation period and layer 1 indication interval corresponding to the no DRX mode until the expiry or stop of T310 timer.</w:t>
                      </w:r>
                    </w:p>
                  </w:txbxContent>
                </v:textbox>
                <w10:anchorlock/>
              </v:shape>
            </w:pict>
          </mc:Fallback>
        </mc:AlternateContent>
      </w:r>
    </w:p>
    <w:p w14:paraId="3B07151C" w14:textId="19C1B6D4" w:rsidR="007D16D5" w:rsidRDefault="007D16D5" w:rsidP="002C7D9A">
      <w:pPr>
        <w:pStyle w:val="BodyText"/>
      </w:pPr>
      <w:r>
        <w:t>RAN4 has also defined the evaluation time in 8.1.2.2:</w:t>
      </w:r>
    </w:p>
    <w:p w14:paraId="035039B4" w14:textId="23C9BE74" w:rsidR="00A7275F" w:rsidRDefault="00A7275F" w:rsidP="002C7D9A">
      <w:pPr>
        <w:pStyle w:val="BodyText"/>
      </w:pPr>
      <w:r>
        <w:rPr>
          <w:noProof/>
        </w:rPr>
        <w:lastRenderedPageBreak/>
        <mc:AlternateContent>
          <mc:Choice Requires="wps">
            <w:drawing>
              <wp:inline distT="0" distB="0" distL="0" distR="0" wp14:anchorId="216EB16D" wp14:editId="57DA3F35">
                <wp:extent cx="6172200" cy="1666875"/>
                <wp:effectExtent l="0" t="0" r="19050" b="21590"/>
                <wp:docPr id="3" name="Text Box 3"/>
                <wp:cNvGraphicFramePr/>
                <a:graphic xmlns:a="http://schemas.openxmlformats.org/drawingml/2006/main">
                  <a:graphicData uri="http://schemas.microsoft.com/office/word/2010/wordprocessingShape">
                    <wps:wsp>
                      <wps:cNvSpPr txBox="1"/>
                      <wps:spPr>
                        <a:xfrm>
                          <a:off x="0" y="0"/>
                          <a:ext cx="6172200" cy="1666875"/>
                        </a:xfrm>
                        <a:prstGeom prst="rect">
                          <a:avLst/>
                        </a:prstGeom>
                        <a:solidFill>
                          <a:schemeClr val="lt1"/>
                        </a:solidFill>
                        <a:ln w="6350">
                          <a:solidFill>
                            <a:prstClr val="black"/>
                          </a:solidFill>
                        </a:ln>
                      </wps:spPr>
                      <wps:txbx>
                        <w:txbxContent>
                          <w:p w14:paraId="5FD7FD58" w14:textId="77777777" w:rsidR="007D16D5" w:rsidRDefault="007D16D5" w:rsidP="007D16D5">
                            <w:pPr>
                              <w:keepNext/>
                              <w:keepLines/>
                              <w:spacing w:before="60"/>
                              <w:jc w:val="center"/>
                              <w:rPr>
                                <w:rFonts w:ascii="Arial" w:hAnsi="Arial"/>
                                <w:b/>
                              </w:rPr>
                            </w:pPr>
                            <w:r>
                              <w:rPr>
                                <w:rFonts w:ascii="Arial" w:hAnsi="Arial"/>
                                <w:b/>
                              </w:rPr>
                              <w:t xml:space="preserve">Table 8.1.2.2-1: Evaluation period </w:t>
                            </w:r>
                            <w:proofErr w:type="spellStart"/>
                            <w:r>
                              <w:rPr>
                                <w:rFonts w:ascii="Arial" w:hAnsi="Arial"/>
                                <w:b/>
                              </w:rPr>
                              <w:t>T</w:t>
                            </w:r>
                            <w:r>
                              <w:rPr>
                                <w:rFonts w:ascii="Arial" w:hAnsi="Arial"/>
                                <w:b/>
                                <w:vertAlign w:val="subscript"/>
                              </w:rPr>
                              <w:t>Evaluate_out_SSB</w:t>
                            </w:r>
                            <w:proofErr w:type="spellEnd"/>
                            <w:r>
                              <w:rPr>
                                <w:rFonts w:ascii="Arial" w:hAnsi="Arial"/>
                                <w:b/>
                              </w:rPr>
                              <w:t xml:space="preserve"> and </w:t>
                            </w:r>
                            <w:proofErr w:type="spellStart"/>
                            <w:r>
                              <w:rPr>
                                <w:rFonts w:ascii="Arial" w:hAnsi="Arial"/>
                                <w:b/>
                              </w:rPr>
                              <w:t>T</w:t>
                            </w:r>
                            <w:r>
                              <w:rPr>
                                <w:rFonts w:ascii="Arial" w:hAnsi="Arial"/>
                                <w:b/>
                                <w:vertAlign w:val="subscript"/>
                              </w:rPr>
                              <w:t>Evaluate_in_SSB</w:t>
                            </w:r>
                            <w:proofErr w:type="spellEnd"/>
                            <w:r>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D16D5" w14:paraId="7FD6FD41" w14:textId="77777777" w:rsidTr="007D16D5">
                              <w:trPr>
                                <w:jc w:val="center"/>
                              </w:trPr>
                              <w:tc>
                                <w:tcPr>
                                  <w:tcW w:w="2035" w:type="dxa"/>
                                  <w:tcBorders>
                                    <w:top w:val="single" w:sz="4" w:space="0" w:color="auto"/>
                                    <w:left w:val="single" w:sz="4" w:space="0" w:color="auto"/>
                                    <w:bottom w:val="single" w:sz="4" w:space="0" w:color="auto"/>
                                    <w:right w:val="single" w:sz="4" w:space="0" w:color="auto"/>
                                  </w:tcBorders>
                                  <w:hideMark/>
                                </w:tcPr>
                                <w:p w14:paraId="7C1EF13B" w14:textId="77777777" w:rsidR="007D16D5" w:rsidRDefault="007D16D5" w:rsidP="007D16D5">
                                  <w:pPr>
                                    <w:keepNext/>
                                    <w:keepLines/>
                                    <w:spacing w:after="0"/>
                                    <w:jc w:val="center"/>
                                    <w:rPr>
                                      <w:rFonts w:ascii="Arial" w:hAnsi="Arial"/>
                                      <w:b/>
                                      <w:sz w:val="18"/>
                                    </w:rPr>
                                  </w:pPr>
                                  <w:bookmarkStart w:id="2" w:name="_Hlk513850563"/>
                                  <w:r>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4A196396" w14:textId="77777777" w:rsidR="007D16D5" w:rsidRDefault="007D16D5" w:rsidP="007D16D5">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Evaluate_out_SSB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4B0E54C6" w14:textId="77777777" w:rsidR="007D16D5" w:rsidRDefault="007D16D5" w:rsidP="007D16D5">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Evaluate_in_SSB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7D16D5" w14:paraId="324E56AC" w14:textId="77777777" w:rsidTr="007D16D5">
                              <w:trPr>
                                <w:jc w:val="center"/>
                              </w:trPr>
                              <w:tc>
                                <w:tcPr>
                                  <w:tcW w:w="2035" w:type="dxa"/>
                                  <w:tcBorders>
                                    <w:top w:val="single" w:sz="4" w:space="0" w:color="auto"/>
                                    <w:left w:val="single" w:sz="4" w:space="0" w:color="auto"/>
                                    <w:bottom w:val="single" w:sz="4" w:space="0" w:color="auto"/>
                                    <w:right w:val="single" w:sz="4" w:space="0" w:color="auto"/>
                                  </w:tcBorders>
                                  <w:hideMark/>
                                </w:tcPr>
                                <w:p w14:paraId="75BE91D5" w14:textId="77777777" w:rsidR="007D16D5" w:rsidRDefault="007D16D5" w:rsidP="007D16D5">
                                  <w:pPr>
                                    <w:keepNext/>
                                    <w:keepLines/>
                                    <w:spacing w:after="0"/>
                                    <w:jc w:val="center"/>
                                    <w:rPr>
                                      <w:rFonts w:ascii="Arial" w:hAnsi="Arial"/>
                                      <w:sz w:val="18"/>
                                    </w:rPr>
                                  </w:pPr>
                                  <w:r>
                                    <w:rPr>
                                      <w:rFonts w:ascii="Arial" w:hAnsi="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2AED95E3" w14:textId="77777777" w:rsidR="007D16D5" w:rsidRDefault="007D16D5" w:rsidP="007D16D5">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200, Ceil(10*P)*T</w:t>
                                  </w:r>
                                  <w:r>
                                    <w:rPr>
                                      <w:rFonts w:ascii="Arial" w:hAnsi="Arial"/>
                                      <w:sz w:val="18"/>
                                      <w:vertAlign w:val="subscript"/>
                                    </w:rPr>
                                    <w:t>SSB</w:t>
                                  </w:r>
                                  <w:r>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779BE287" w14:textId="77777777" w:rsidR="007D16D5" w:rsidRDefault="007D16D5" w:rsidP="007D16D5">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100, Ceil(5*P)*T</w:t>
                                  </w:r>
                                  <w:r>
                                    <w:rPr>
                                      <w:rFonts w:ascii="Arial" w:hAnsi="Arial"/>
                                      <w:sz w:val="18"/>
                                      <w:vertAlign w:val="subscript"/>
                                    </w:rPr>
                                    <w:t>SSB</w:t>
                                  </w:r>
                                  <w:r>
                                    <w:rPr>
                                      <w:rFonts w:ascii="Arial" w:hAnsi="Arial"/>
                                      <w:sz w:val="18"/>
                                    </w:rPr>
                                    <w:t>)</w:t>
                                  </w:r>
                                </w:p>
                              </w:tc>
                            </w:tr>
                            <w:tr w:rsidR="007D16D5" w:rsidRPr="007D16D5" w14:paraId="6A7CF38C" w14:textId="77777777" w:rsidTr="007D16D5">
                              <w:trPr>
                                <w:jc w:val="center"/>
                              </w:trPr>
                              <w:tc>
                                <w:tcPr>
                                  <w:tcW w:w="2035" w:type="dxa"/>
                                  <w:tcBorders>
                                    <w:top w:val="single" w:sz="4" w:space="0" w:color="auto"/>
                                    <w:left w:val="single" w:sz="4" w:space="0" w:color="auto"/>
                                    <w:bottom w:val="single" w:sz="4" w:space="0" w:color="auto"/>
                                    <w:right w:val="single" w:sz="4" w:space="0" w:color="auto"/>
                                  </w:tcBorders>
                                  <w:hideMark/>
                                </w:tcPr>
                                <w:p w14:paraId="025FC141" w14:textId="77777777" w:rsidR="007D16D5" w:rsidRDefault="007D16D5" w:rsidP="007D16D5">
                                  <w:pPr>
                                    <w:keepNext/>
                                    <w:keepLines/>
                                    <w:spacing w:after="0"/>
                                    <w:jc w:val="center"/>
                                    <w:rPr>
                                      <w:rFonts w:ascii="Arial" w:hAnsi="Arial"/>
                                      <w:sz w:val="18"/>
                                    </w:rPr>
                                  </w:pPr>
                                  <w:r>
                                    <w:rPr>
                                      <w:rFonts w:ascii="Arial" w:hAnsi="Arial"/>
                                      <w:sz w:val="18"/>
                                    </w:rPr>
                                    <w:t>DRX cycle</w:t>
                                  </w:r>
                                  <w:r>
                                    <w:rPr>
                                      <w:rFonts w:ascii="Arial" w:hAnsi="Arial" w:hint="eastAsia"/>
                                      <w:sz w:val="18"/>
                                      <w:lang w:val="en-US"/>
                                    </w:rPr>
                                    <w:t>≤</w:t>
                                  </w:r>
                                  <w:r>
                                    <w:rPr>
                                      <w:rFonts w:ascii="Arial" w:hAnsi="Arial"/>
                                      <w:sz w:val="18"/>
                                    </w:rPr>
                                    <w:t>320</w:t>
                                  </w:r>
                                </w:p>
                              </w:tc>
                              <w:tc>
                                <w:tcPr>
                                  <w:tcW w:w="3260" w:type="dxa"/>
                                  <w:tcBorders>
                                    <w:top w:val="single" w:sz="4" w:space="0" w:color="auto"/>
                                    <w:left w:val="single" w:sz="4" w:space="0" w:color="auto"/>
                                    <w:bottom w:val="single" w:sz="4" w:space="0" w:color="auto"/>
                                    <w:right w:val="single" w:sz="4" w:space="0" w:color="auto"/>
                                  </w:tcBorders>
                                  <w:hideMark/>
                                </w:tcPr>
                                <w:p w14:paraId="2E859A01" w14:textId="77777777" w:rsidR="007D16D5" w:rsidRDefault="007D16D5" w:rsidP="007D16D5">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200, Ceil(15*P)*Max(T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5671E577" w14:textId="77777777" w:rsidR="007D16D5" w:rsidRDefault="007D16D5" w:rsidP="007D16D5">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100, Ceil(7.5*P)*Max(T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p>
                              </w:tc>
                            </w:tr>
                            <w:tr w:rsidR="007D16D5" w14:paraId="45093755" w14:textId="77777777" w:rsidTr="007D16D5">
                              <w:trPr>
                                <w:jc w:val="center"/>
                              </w:trPr>
                              <w:tc>
                                <w:tcPr>
                                  <w:tcW w:w="2035" w:type="dxa"/>
                                  <w:tcBorders>
                                    <w:top w:val="single" w:sz="4" w:space="0" w:color="auto"/>
                                    <w:left w:val="single" w:sz="4" w:space="0" w:color="auto"/>
                                    <w:bottom w:val="single" w:sz="4" w:space="0" w:color="auto"/>
                                    <w:right w:val="single" w:sz="4" w:space="0" w:color="auto"/>
                                  </w:tcBorders>
                                  <w:hideMark/>
                                </w:tcPr>
                                <w:p w14:paraId="56984296" w14:textId="77777777" w:rsidR="007D16D5" w:rsidRDefault="007D16D5" w:rsidP="007D16D5">
                                  <w:pPr>
                                    <w:keepNext/>
                                    <w:keepLines/>
                                    <w:spacing w:after="0"/>
                                    <w:jc w:val="center"/>
                                    <w:rPr>
                                      <w:rFonts w:ascii="Arial" w:hAnsi="Arial"/>
                                      <w:sz w:val="18"/>
                                    </w:rPr>
                                  </w:pPr>
                                  <w:r>
                                    <w:rPr>
                                      <w:rFonts w:ascii="Arial" w:hAnsi="Arial"/>
                                      <w:sz w:val="18"/>
                                    </w:rPr>
                                    <w:t>DRX cycle&gt;320</w:t>
                                  </w:r>
                                </w:p>
                              </w:tc>
                              <w:tc>
                                <w:tcPr>
                                  <w:tcW w:w="3260" w:type="dxa"/>
                                  <w:tcBorders>
                                    <w:top w:val="single" w:sz="4" w:space="0" w:color="auto"/>
                                    <w:left w:val="single" w:sz="4" w:space="0" w:color="auto"/>
                                    <w:bottom w:val="single" w:sz="4" w:space="0" w:color="auto"/>
                                    <w:right w:val="single" w:sz="4" w:space="0" w:color="auto"/>
                                  </w:tcBorders>
                                  <w:hideMark/>
                                </w:tcPr>
                                <w:p w14:paraId="2A3F5095" w14:textId="77777777" w:rsidR="007D16D5" w:rsidRDefault="007D16D5" w:rsidP="007D16D5">
                                  <w:pPr>
                                    <w:keepNext/>
                                    <w:keepLines/>
                                    <w:spacing w:after="0"/>
                                    <w:jc w:val="center"/>
                                    <w:rPr>
                                      <w:rFonts w:ascii="Arial" w:hAnsi="Arial"/>
                                      <w:sz w:val="18"/>
                                    </w:rPr>
                                  </w:pPr>
                                  <w:r>
                                    <w:rPr>
                                      <w:rFonts w:ascii="Arial" w:hAnsi="Arial"/>
                                      <w:sz w:val="18"/>
                                    </w:rPr>
                                    <w:t>Ceil(10*</w:t>
                                  </w:r>
                                  <w:proofErr w:type="gramStart"/>
                                  <w:r>
                                    <w:rPr>
                                      <w:rFonts w:ascii="Arial" w:hAnsi="Arial"/>
                                      <w:sz w:val="18"/>
                                    </w:rPr>
                                    <w:t>P)*</w:t>
                                  </w:r>
                                  <w:proofErr w:type="gramEnd"/>
                                  <w:r>
                                    <w:rPr>
                                      <w:rFonts w:ascii="Arial" w:hAnsi="Arial"/>
                                      <w:sz w:val="18"/>
                                    </w:rPr>
                                    <w:t>T</w:t>
                                  </w:r>
                                  <w:r>
                                    <w:rPr>
                                      <w:rFonts w:ascii="Arial" w:hAnsi="Arial"/>
                                      <w:sz w:val="18"/>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5A0320AB" w14:textId="77777777" w:rsidR="007D16D5" w:rsidRDefault="007D16D5" w:rsidP="007D16D5">
                                  <w:pPr>
                                    <w:keepNext/>
                                    <w:keepLines/>
                                    <w:spacing w:after="0"/>
                                    <w:jc w:val="center"/>
                                    <w:rPr>
                                      <w:rFonts w:ascii="Arial" w:hAnsi="Arial"/>
                                      <w:sz w:val="18"/>
                                    </w:rPr>
                                  </w:pPr>
                                  <w:r>
                                    <w:rPr>
                                      <w:rFonts w:ascii="Arial" w:hAnsi="Arial"/>
                                      <w:sz w:val="18"/>
                                    </w:rPr>
                                    <w:t>Ceil(5*</w:t>
                                  </w:r>
                                  <w:proofErr w:type="gramStart"/>
                                  <w:r>
                                    <w:rPr>
                                      <w:rFonts w:ascii="Arial" w:hAnsi="Arial"/>
                                      <w:sz w:val="18"/>
                                    </w:rPr>
                                    <w:t>P)*</w:t>
                                  </w:r>
                                  <w:proofErr w:type="gramEnd"/>
                                  <w:r>
                                    <w:rPr>
                                      <w:rFonts w:ascii="Arial" w:hAnsi="Arial"/>
                                      <w:sz w:val="18"/>
                                    </w:rPr>
                                    <w:t>T</w:t>
                                  </w:r>
                                  <w:r>
                                    <w:rPr>
                                      <w:rFonts w:ascii="Arial" w:hAnsi="Arial"/>
                                      <w:sz w:val="18"/>
                                      <w:vertAlign w:val="subscript"/>
                                    </w:rPr>
                                    <w:t>DRX</w:t>
                                  </w:r>
                                </w:p>
                              </w:tc>
                            </w:tr>
                            <w:tr w:rsidR="007D16D5" w:rsidRPr="007D16D5" w14:paraId="4A80B229" w14:textId="77777777" w:rsidTr="007D16D5">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D9C9159" w14:textId="77777777" w:rsidR="007D16D5" w:rsidRDefault="007D16D5" w:rsidP="007D16D5">
                                  <w:pPr>
                                    <w:keepNext/>
                                    <w:keepLines/>
                                    <w:spacing w:after="0"/>
                                    <w:ind w:left="851" w:hanging="851"/>
                                    <w:rPr>
                                      <w:rFonts w:ascii="Arial" w:hAnsi="Arial"/>
                                      <w:sz w:val="18"/>
                                    </w:rPr>
                                  </w:pPr>
                                  <w:r>
                                    <w:rPr>
                                      <w:rFonts w:ascii="Arial" w:hAnsi="Arial"/>
                                      <w:sz w:val="18"/>
                                    </w:rPr>
                                    <w:t>N</w:t>
                                  </w:r>
                                  <w:r>
                                    <w:rPr>
                                      <w:rFonts w:ascii="Arial" w:eastAsia="Malgun Gothic" w:hAnsi="Arial"/>
                                      <w:sz w:val="18"/>
                                      <w:lang w:eastAsia="ko-KR"/>
                                    </w:rPr>
                                    <w:t>OTE</w:t>
                                  </w:r>
                                  <w:r>
                                    <w:rPr>
                                      <w:rFonts w:ascii="Arial" w:hAnsi="Arial"/>
                                      <w:sz w:val="18"/>
                                    </w:rPr>
                                    <w:t>:</w:t>
                                  </w:r>
                                  <w:r>
                                    <w:rPr>
                                      <w:rFonts w:ascii="Arial" w:hAnsi="Arial"/>
                                      <w:sz w:val="28"/>
                                    </w:rPr>
                                    <w:tab/>
                                  </w:r>
                                  <w:r>
                                    <w:rPr>
                                      <w:rFonts w:ascii="Arial" w:hAnsi="Arial"/>
                                      <w:sz w:val="18"/>
                                    </w:rPr>
                                    <w:t>T</w:t>
                                  </w:r>
                                  <w:r>
                                    <w:rPr>
                                      <w:rFonts w:ascii="Arial" w:hAnsi="Arial"/>
                                      <w:sz w:val="18"/>
                                      <w:vertAlign w:val="subscript"/>
                                    </w:rPr>
                                    <w:t>SSB</w:t>
                                  </w:r>
                                  <w:r>
                                    <w:rPr>
                                      <w:rFonts w:ascii="Arial" w:hAnsi="Arial"/>
                                      <w:sz w:val="18"/>
                                    </w:rPr>
                                    <w:t xml:space="preserve"> is the periodicity of the SSB configured for RLM. T</w:t>
                                  </w:r>
                                  <w:r>
                                    <w:rPr>
                                      <w:rFonts w:ascii="Arial" w:hAnsi="Arial"/>
                                      <w:sz w:val="18"/>
                                      <w:vertAlign w:val="subscript"/>
                                    </w:rPr>
                                    <w:t>DRX</w:t>
                                  </w:r>
                                  <w:r>
                                    <w:rPr>
                                      <w:rFonts w:ascii="Arial" w:hAnsi="Arial"/>
                                      <w:sz w:val="18"/>
                                    </w:rPr>
                                    <w:t xml:space="preserve"> is the DRX cycle length.</w:t>
                                  </w:r>
                                </w:p>
                              </w:tc>
                              <w:bookmarkEnd w:id="2"/>
                            </w:tr>
                          </w:tbl>
                          <w:p w14:paraId="081CBB57" w14:textId="77777777" w:rsidR="00A7275F" w:rsidRPr="00A7275F" w:rsidRDefault="00A7275F" w:rsidP="007D16D5">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16EB16D" id="Text Box 3" o:spid="_x0000_s1029" type="#_x0000_t202" style="width:486pt;height:13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" fillcolor="white [3201]" strokeweight=".5pt">
                <v:textbox style="mso-fit-shape-to-text:t">
                  <w:txbxContent>
                    <w:p w14:paraId="5FD7FD58" w14:textId="77777777" w:rsidR="007D16D5" w:rsidRDefault="007D16D5" w:rsidP="007D16D5">
                      <w:pPr>
                        <w:keepNext/>
                        <w:keepLines/>
                        <w:spacing w:before="60"/>
                        <w:jc w:val="center"/>
                        <w:rPr>
                          <w:rFonts w:ascii="Arial" w:hAnsi="Arial"/>
                          <w:b/>
                        </w:rPr>
                      </w:pPr>
                      <w:r>
                        <w:rPr>
                          <w:rFonts w:ascii="Arial" w:hAnsi="Arial"/>
                          <w:b/>
                        </w:rPr>
                        <w:t xml:space="preserve">Table 8.1.2.2-1: Evaluation period </w:t>
                      </w:r>
                      <w:proofErr w:type="spellStart"/>
                      <w:r>
                        <w:rPr>
                          <w:rFonts w:ascii="Arial" w:hAnsi="Arial"/>
                          <w:b/>
                        </w:rPr>
                        <w:t>T</w:t>
                      </w:r>
                      <w:r>
                        <w:rPr>
                          <w:rFonts w:ascii="Arial" w:hAnsi="Arial"/>
                          <w:b/>
                          <w:vertAlign w:val="subscript"/>
                        </w:rPr>
                        <w:t>Evaluate_out_SSB</w:t>
                      </w:r>
                      <w:proofErr w:type="spellEnd"/>
                      <w:r>
                        <w:rPr>
                          <w:rFonts w:ascii="Arial" w:hAnsi="Arial"/>
                          <w:b/>
                        </w:rPr>
                        <w:t xml:space="preserve"> and </w:t>
                      </w:r>
                      <w:proofErr w:type="spellStart"/>
                      <w:r>
                        <w:rPr>
                          <w:rFonts w:ascii="Arial" w:hAnsi="Arial"/>
                          <w:b/>
                        </w:rPr>
                        <w:t>T</w:t>
                      </w:r>
                      <w:r>
                        <w:rPr>
                          <w:rFonts w:ascii="Arial" w:hAnsi="Arial"/>
                          <w:b/>
                          <w:vertAlign w:val="subscript"/>
                        </w:rPr>
                        <w:t>Evaluate_in_SSB</w:t>
                      </w:r>
                      <w:proofErr w:type="spellEnd"/>
                      <w:r>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D16D5" w14:paraId="7FD6FD41" w14:textId="77777777" w:rsidTr="007D16D5">
                        <w:trPr>
                          <w:jc w:val="center"/>
                        </w:trPr>
                        <w:tc>
                          <w:tcPr>
                            <w:tcW w:w="2035" w:type="dxa"/>
                            <w:tcBorders>
                              <w:top w:val="single" w:sz="4" w:space="0" w:color="auto"/>
                              <w:left w:val="single" w:sz="4" w:space="0" w:color="auto"/>
                              <w:bottom w:val="single" w:sz="4" w:space="0" w:color="auto"/>
                              <w:right w:val="single" w:sz="4" w:space="0" w:color="auto"/>
                            </w:tcBorders>
                            <w:hideMark/>
                          </w:tcPr>
                          <w:p w14:paraId="7C1EF13B" w14:textId="77777777" w:rsidR="007D16D5" w:rsidRDefault="007D16D5" w:rsidP="007D16D5">
                            <w:pPr>
                              <w:keepNext/>
                              <w:keepLines/>
                              <w:spacing w:after="0"/>
                              <w:jc w:val="center"/>
                              <w:rPr>
                                <w:rFonts w:ascii="Arial" w:hAnsi="Arial"/>
                                <w:b/>
                                <w:sz w:val="18"/>
                              </w:rPr>
                            </w:pPr>
                            <w:bookmarkStart w:id="3" w:name="_Hlk513850563"/>
                            <w:r>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4A196396" w14:textId="77777777" w:rsidR="007D16D5" w:rsidRDefault="007D16D5" w:rsidP="007D16D5">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Evaluate_out_SSB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4B0E54C6" w14:textId="77777777" w:rsidR="007D16D5" w:rsidRDefault="007D16D5" w:rsidP="007D16D5">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Evaluate_in_SSB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7D16D5" w14:paraId="324E56AC" w14:textId="77777777" w:rsidTr="007D16D5">
                        <w:trPr>
                          <w:jc w:val="center"/>
                        </w:trPr>
                        <w:tc>
                          <w:tcPr>
                            <w:tcW w:w="2035" w:type="dxa"/>
                            <w:tcBorders>
                              <w:top w:val="single" w:sz="4" w:space="0" w:color="auto"/>
                              <w:left w:val="single" w:sz="4" w:space="0" w:color="auto"/>
                              <w:bottom w:val="single" w:sz="4" w:space="0" w:color="auto"/>
                              <w:right w:val="single" w:sz="4" w:space="0" w:color="auto"/>
                            </w:tcBorders>
                            <w:hideMark/>
                          </w:tcPr>
                          <w:p w14:paraId="75BE91D5" w14:textId="77777777" w:rsidR="007D16D5" w:rsidRDefault="007D16D5" w:rsidP="007D16D5">
                            <w:pPr>
                              <w:keepNext/>
                              <w:keepLines/>
                              <w:spacing w:after="0"/>
                              <w:jc w:val="center"/>
                              <w:rPr>
                                <w:rFonts w:ascii="Arial" w:hAnsi="Arial"/>
                                <w:sz w:val="18"/>
                              </w:rPr>
                            </w:pPr>
                            <w:r>
                              <w:rPr>
                                <w:rFonts w:ascii="Arial" w:hAnsi="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2AED95E3" w14:textId="77777777" w:rsidR="007D16D5" w:rsidRDefault="007D16D5" w:rsidP="007D16D5">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200, Ceil(10*P)*T</w:t>
                            </w:r>
                            <w:r>
                              <w:rPr>
                                <w:rFonts w:ascii="Arial" w:hAnsi="Arial"/>
                                <w:sz w:val="18"/>
                                <w:vertAlign w:val="subscript"/>
                              </w:rPr>
                              <w:t>SSB</w:t>
                            </w:r>
                            <w:r>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779BE287" w14:textId="77777777" w:rsidR="007D16D5" w:rsidRDefault="007D16D5" w:rsidP="007D16D5">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100, Ceil(5*P)*T</w:t>
                            </w:r>
                            <w:r>
                              <w:rPr>
                                <w:rFonts w:ascii="Arial" w:hAnsi="Arial"/>
                                <w:sz w:val="18"/>
                                <w:vertAlign w:val="subscript"/>
                              </w:rPr>
                              <w:t>SSB</w:t>
                            </w:r>
                            <w:r>
                              <w:rPr>
                                <w:rFonts w:ascii="Arial" w:hAnsi="Arial"/>
                                <w:sz w:val="18"/>
                              </w:rPr>
                              <w:t>)</w:t>
                            </w:r>
                          </w:p>
                        </w:tc>
                      </w:tr>
                      <w:tr w:rsidR="007D16D5" w:rsidRPr="007D16D5" w14:paraId="6A7CF38C" w14:textId="77777777" w:rsidTr="007D16D5">
                        <w:trPr>
                          <w:jc w:val="center"/>
                        </w:trPr>
                        <w:tc>
                          <w:tcPr>
                            <w:tcW w:w="2035" w:type="dxa"/>
                            <w:tcBorders>
                              <w:top w:val="single" w:sz="4" w:space="0" w:color="auto"/>
                              <w:left w:val="single" w:sz="4" w:space="0" w:color="auto"/>
                              <w:bottom w:val="single" w:sz="4" w:space="0" w:color="auto"/>
                              <w:right w:val="single" w:sz="4" w:space="0" w:color="auto"/>
                            </w:tcBorders>
                            <w:hideMark/>
                          </w:tcPr>
                          <w:p w14:paraId="025FC141" w14:textId="77777777" w:rsidR="007D16D5" w:rsidRDefault="007D16D5" w:rsidP="007D16D5">
                            <w:pPr>
                              <w:keepNext/>
                              <w:keepLines/>
                              <w:spacing w:after="0"/>
                              <w:jc w:val="center"/>
                              <w:rPr>
                                <w:rFonts w:ascii="Arial" w:hAnsi="Arial"/>
                                <w:sz w:val="18"/>
                              </w:rPr>
                            </w:pPr>
                            <w:r>
                              <w:rPr>
                                <w:rFonts w:ascii="Arial" w:hAnsi="Arial"/>
                                <w:sz w:val="18"/>
                              </w:rPr>
                              <w:t>DRX cycle</w:t>
                            </w:r>
                            <w:r>
                              <w:rPr>
                                <w:rFonts w:ascii="Arial" w:hAnsi="Arial" w:hint="eastAsia"/>
                                <w:sz w:val="18"/>
                                <w:lang w:val="en-US"/>
                              </w:rPr>
                              <w:t>≤</w:t>
                            </w:r>
                            <w:r>
                              <w:rPr>
                                <w:rFonts w:ascii="Arial" w:hAnsi="Arial"/>
                                <w:sz w:val="18"/>
                              </w:rPr>
                              <w:t>320</w:t>
                            </w:r>
                          </w:p>
                        </w:tc>
                        <w:tc>
                          <w:tcPr>
                            <w:tcW w:w="3260" w:type="dxa"/>
                            <w:tcBorders>
                              <w:top w:val="single" w:sz="4" w:space="0" w:color="auto"/>
                              <w:left w:val="single" w:sz="4" w:space="0" w:color="auto"/>
                              <w:bottom w:val="single" w:sz="4" w:space="0" w:color="auto"/>
                              <w:right w:val="single" w:sz="4" w:space="0" w:color="auto"/>
                            </w:tcBorders>
                            <w:hideMark/>
                          </w:tcPr>
                          <w:p w14:paraId="2E859A01" w14:textId="77777777" w:rsidR="007D16D5" w:rsidRDefault="007D16D5" w:rsidP="007D16D5">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200, Ceil(15*P)*Max(T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5671E577" w14:textId="77777777" w:rsidR="007D16D5" w:rsidRDefault="007D16D5" w:rsidP="007D16D5">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100, Ceil(7.5*P)*Max(T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p>
                        </w:tc>
                      </w:tr>
                      <w:tr w:rsidR="007D16D5" w14:paraId="45093755" w14:textId="77777777" w:rsidTr="007D16D5">
                        <w:trPr>
                          <w:jc w:val="center"/>
                        </w:trPr>
                        <w:tc>
                          <w:tcPr>
                            <w:tcW w:w="2035" w:type="dxa"/>
                            <w:tcBorders>
                              <w:top w:val="single" w:sz="4" w:space="0" w:color="auto"/>
                              <w:left w:val="single" w:sz="4" w:space="0" w:color="auto"/>
                              <w:bottom w:val="single" w:sz="4" w:space="0" w:color="auto"/>
                              <w:right w:val="single" w:sz="4" w:space="0" w:color="auto"/>
                            </w:tcBorders>
                            <w:hideMark/>
                          </w:tcPr>
                          <w:p w14:paraId="56984296" w14:textId="77777777" w:rsidR="007D16D5" w:rsidRDefault="007D16D5" w:rsidP="007D16D5">
                            <w:pPr>
                              <w:keepNext/>
                              <w:keepLines/>
                              <w:spacing w:after="0"/>
                              <w:jc w:val="center"/>
                              <w:rPr>
                                <w:rFonts w:ascii="Arial" w:hAnsi="Arial"/>
                                <w:sz w:val="18"/>
                              </w:rPr>
                            </w:pPr>
                            <w:r>
                              <w:rPr>
                                <w:rFonts w:ascii="Arial" w:hAnsi="Arial"/>
                                <w:sz w:val="18"/>
                              </w:rPr>
                              <w:t>DRX cycle&gt;320</w:t>
                            </w:r>
                          </w:p>
                        </w:tc>
                        <w:tc>
                          <w:tcPr>
                            <w:tcW w:w="3260" w:type="dxa"/>
                            <w:tcBorders>
                              <w:top w:val="single" w:sz="4" w:space="0" w:color="auto"/>
                              <w:left w:val="single" w:sz="4" w:space="0" w:color="auto"/>
                              <w:bottom w:val="single" w:sz="4" w:space="0" w:color="auto"/>
                              <w:right w:val="single" w:sz="4" w:space="0" w:color="auto"/>
                            </w:tcBorders>
                            <w:hideMark/>
                          </w:tcPr>
                          <w:p w14:paraId="2A3F5095" w14:textId="77777777" w:rsidR="007D16D5" w:rsidRDefault="007D16D5" w:rsidP="007D16D5">
                            <w:pPr>
                              <w:keepNext/>
                              <w:keepLines/>
                              <w:spacing w:after="0"/>
                              <w:jc w:val="center"/>
                              <w:rPr>
                                <w:rFonts w:ascii="Arial" w:hAnsi="Arial"/>
                                <w:sz w:val="18"/>
                              </w:rPr>
                            </w:pPr>
                            <w:r>
                              <w:rPr>
                                <w:rFonts w:ascii="Arial" w:hAnsi="Arial"/>
                                <w:sz w:val="18"/>
                              </w:rPr>
                              <w:t>Ceil(10*</w:t>
                            </w:r>
                            <w:proofErr w:type="gramStart"/>
                            <w:r>
                              <w:rPr>
                                <w:rFonts w:ascii="Arial" w:hAnsi="Arial"/>
                                <w:sz w:val="18"/>
                              </w:rPr>
                              <w:t>P)*</w:t>
                            </w:r>
                            <w:proofErr w:type="gramEnd"/>
                            <w:r>
                              <w:rPr>
                                <w:rFonts w:ascii="Arial" w:hAnsi="Arial"/>
                                <w:sz w:val="18"/>
                              </w:rPr>
                              <w:t>T</w:t>
                            </w:r>
                            <w:r>
                              <w:rPr>
                                <w:rFonts w:ascii="Arial" w:hAnsi="Arial"/>
                                <w:sz w:val="18"/>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5A0320AB" w14:textId="77777777" w:rsidR="007D16D5" w:rsidRDefault="007D16D5" w:rsidP="007D16D5">
                            <w:pPr>
                              <w:keepNext/>
                              <w:keepLines/>
                              <w:spacing w:after="0"/>
                              <w:jc w:val="center"/>
                              <w:rPr>
                                <w:rFonts w:ascii="Arial" w:hAnsi="Arial"/>
                                <w:sz w:val="18"/>
                              </w:rPr>
                            </w:pPr>
                            <w:r>
                              <w:rPr>
                                <w:rFonts w:ascii="Arial" w:hAnsi="Arial"/>
                                <w:sz w:val="18"/>
                              </w:rPr>
                              <w:t>Ceil(5*</w:t>
                            </w:r>
                            <w:proofErr w:type="gramStart"/>
                            <w:r>
                              <w:rPr>
                                <w:rFonts w:ascii="Arial" w:hAnsi="Arial"/>
                                <w:sz w:val="18"/>
                              </w:rPr>
                              <w:t>P)*</w:t>
                            </w:r>
                            <w:proofErr w:type="gramEnd"/>
                            <w:r>
                              <w:rPr>
                                <w:rFonts w:ascii="Arial" w:hAnsi="Arial"/>
                                <w:sz w:val="18"/>
                              </w:rPr>
                              <w:t>T</w:t>
                            </w:r>
                            <w:r>
                              <w:rPr>
                                <w:rFonts w:ascii="Arial" w:hAnsi="Arial"/>
                                <w:sz w:val="18"/>
                                <w:vertAlign w:val="subscript"/>
                              </w:rPr>
                              <w:t>DRX</w:t>
                            </w:r>
                          </w:p>
                        </w:tc>
                      </w:tr>
                      <w:tr w:rsidR="007D16D5" w:rsidRPr="007D16D5" w14:paraId="4A80B229" w14:textId="77777777" w:rsidTr="007D16D5">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D9C9159" w14:textId="77777777" w:rsidR="007D16D5" w:rsidRDefault="007D16D5" w:rsidP="007D16D5">
                            <w:pPr>
                              <w:keepNext/>
                              <w:keepLines/>
                              <w:spacing w:after="0"/>
                              <w:ind w:left="851" w:hanging="851"/>
                              <w:rPr>
                                <w:rFonts w:ascii="Arial" w:hAnsi="Arial"/>
                                <w:sz w:val="18"/>
                              </w:rPr>
                            </w:pPr>
                            <w:r>
                              <w:rPr>
                                <w:rFonts w:ascii="Arial" w:hAnsi="Arial"/>
                                <w:sz w:val="18"/>
                              </w:rPr>
                              <w:t>N</w:t>
                            </w:r>
                            <w:r>
                              <w:rPr>
                                <w:rFonts w:ascii="Arial" w:eastAsia="Malgun Gothic" w:hAnsi="Arial"/>
                                <w:sz w:val="18"/>
                                <w:lang w:eastAsia="ko-KR"/>
                              </w:rPr>
                              <w:t>OTE</w:t>
                            </w:r>
                            <w:r>
                              <w:rPr>
                                <w:rFonts w:ascii="Arial" w:hAnsi="Arial"/>
                                <w:sz w:val="18"/>
                              </w:rPr>
                              <w:t>:</w:t>
                            </w:r>
                            <w:r>
                              <w:rPr>
                                <w:rFonts w:ascii="Arial" w:hAnsi="Arial"/>
                                <w:sz w:val="28"/>
                              </w:rPr>
                              <w:tab/>
                            </w:r>
                            <w:r>
                              <w:rPr>
                                <w:rFonts w:ascii="Arial" w:hAnsi="Arial"/>
                                <w:sz w:val="18"/>
                              </w:rPr>
                              <w:t>T</w:t>
                            </w:r>
                            <w:r>
                              <w:rPr>
                                <w:rFonts w:ascii="Arial" w:hAnsi="Arial"/>
                                <w:sz w:val="18"/>
                                <w:vertAlign w:val="subscript"/>
                              </w:rPr>
                              <w:t>SSB</w:t>
                            </w:r>
                            <w:r>
                              <w:rPr>
                                <w:rFonts w:ascii="Arial" w:hAnsi="Arial"/>
                                <w:sz w:val="18"/>
                              </w:rPr>
                              <w:t xml:space="preserve"> is the periodicity of the SSB configured for RLM. T</w:t>
                            </w:r>
                            <w:r>
                              <w:rPr>
                                <w:rFonts w:ascii="Arial" w:hAnsi="Arial"/>
                                <w:sz w:val="18"/>
                                <w:vertAlign w:val="subscript"/>
                              </w:rPr>
                              <w:t>DRX</w:t>
                            </w:r>
                            <w:r>
                              <w:rPr>
                                <w:rFonts w:ascii="Arial" w:hAnsi="Arial"/>
                                <w:sz w:val="18"/>
                              </w:rPr>
                              <w:t xml:space="preserve"> is the DRX cycle length.</w:t>
                            </w:r>
                          </w:p>
                        </w:tc>
                        <w:bookmarkEnd w:id="3"/>
                      </w:tr>
                    </w:tbl>
                    <w:p w14:paraId="081CBB57" w14:textId="77777777" w:rsidR="00A7275F" w:rsidRPr="00A7275F" w:rsidRDefault="00A7275F" w:rsidP="007D16D5">
                      <w:pPr>
                        <w:rPr>
                          <w:lang w:val="en-US"/>
                        </w:rPr>
                      </w:pPr>
                    </w:p>
                  </w:txbxContent>
                </v:textbox>
                <w10:anchorlock/>
              </v:shape>
            </w:pict>
          </mc:Fallback>
        </mc:AlternateContent>
      </w:r>
    </w:p>
    <w:p w14:paraId="52DCEC3E" w14:textId="212FDC22" w:rsidR="00A7275F" w:rsidRDefault="007D16D5" w:rsidP="002C7D9A">
      <w:pPr>
        <w:pStyle w:val="BodyText"/>
      </w:pPr>
      <w:r>
        <w:t xml:space="preserve">For the evaluation period, we note that the evaluation period is scaled with a larger constant </w:t>
      </w:r>
      <w:r w:rsidR="002D227A">
        <w:t xml:space="preserve">(15*P) </w:t>
      </w:r>
      <w:r>
        <w:t xml:space="preserve">for </w:t>
      </w:r>
      <w:r w:rsidR="00BB4C20" w:rsidRPr="00BB4C20">
        <w:t>DRX cycle≤320</w:t>
      </w:r>
      <w:r w:rsidR="00BB4C20">
        <w:t>ms</w:t>
      </w:r>
      <w:r w:rsidR="002D227A">
        <w:t>, compared to the other</w:t>
      </w:r>
      <w:r w:rsidR="00BB4C20">
        <w:t xml:space="preserve"> </w:t>
      </w:r>
      <w:r w:rsidR="002D227A">
        <w:t>cases (10*P). The larger value was introduced to reduce the need for the UE to wake up</w:t>
      </w:r>
      <w:r w:rsidR="00233C53">
        <w:t>. Since the RLM RSs do not necessarily coincide with the ON durations, increasing the evaluation period</w:t>
      </w:r>
      <w:r w:rsidR="002D227A">
        <w:t xml:space="preserve"> would increase the probability that it is </w:t>
      </w:r>
      <w:proofErr w:type="gramStart"/>
      <w:r w:rsidR="002D227A">
        <w:t>sufficient</w:t>
      </w:r>
      <w:proofErr w:type="gramEnd"/>
      <w:r w:rsidR="002D227A">
        <w:t xml:space="preserve"> that the UE wakes up during the ON duration</w:t>
      </w:r>
      <w:r w:rsidR="00113625">
        <w:t>:</w:t>
      </w:r>
    </w:p>
    <w:p w14:paraId="4DD3CDC0" w14:textId="0E463930" w:rsidR="00113625" w:rsidRDefault="00113625" w:rsidP="00113625">
      <w:pPr>
        <w:pStyle w:val="Observation"/>
      </w:pPr>
      <w:bookmarkStart w:id="4" w:name="_Toc23870931"/>
      <w:r>
        <w:t>The evaluation period is increased to reduce the risk that the UE would have to wake up outside the ON durations.</w:t>
      </w:r>
      <w:bookmarkEnd w:id="4"/>
    </w:p>
    <w:p w14:paraId="50A0419E" w14:textId="7707F35B" w:rsidR="002D227A" w:rsidRDefault="00113625" w:rsidP="002C7D9A">
      <w:pPr>
        <w:pStyle w:val="BodyText"/>
      </w:pPr>
      <w:r>
        <w:t xml:space="preserve">If the UE would have to turn on its receiver only to perform the measurements related to RLM, there is a risk that some of the gains related to DRX would be lost. </w:t>
      </w:r>
      <w:r w:rsidR="002D227A">
        <w:t>The</w:t>
      </w:r>
      <w:r>
        <w:t xml:space="preserve">re is thus a motivation why the evaluation period is increased. However, there is no motivation for the corresponding increase in </w:t>
      </w:r>
      <w:r w:rsidR="00182062">
        <w:t>indication period: the UE would have to wake up once every ON duration to monitor PDCCH anyway, and this is a good opportunity to check evaluate the link quality and potentially indicate in-sync or out-of-sync to higher layers</w:t>
      </w:r>
      <w:r w:rsidR="00D65576">
        <w:t>:</w:t>
      </w:r>
    </w:p>
    <w:p w14:paraId="070FEB9D" w14:textId="51220832" w:rsidR="00D65576" w:rsidRDefault="00D65576" w:rsidP="00D65576">
      <w:pPr>
        <w:pStyle w:val="Observation"/>
      </w:pPr>
      <w:bookmarkStart w:id="5" w:name="_Toc23870932"/>
      <w:r>
        <w:t>The increased indication period described in 38.133 does not lead to a reduction in how often the UE would have to wake up.</w:t>
      </w:r>
      <w:bookmarkEnd w:id="5"/>
    </w:p>
    <w:p w14:paraId="21A150DD" w14:textId="04D4E1BF" w:rsidR="00D65576" w:rsidRDefault="00D65576" w:rsidP="00D65576">
      <w:pPr>
        <w:pStyle w:val="BodyText"/>
      </w:pPr>
      <w:r>
        <w:t>Thus, the motivation for increasing the evaluation period does not apply to increasing the indication period.</w:t>
      </w:r>
    </w:p>
    <w:p w14:paraId="345F09FD" w14:textId="09B4FCE7" w:rsidR="00233C53" w:rsidRDefault="00D65576" w:rsidP="00D65576">
      <w:pPr>
        <w:pStyle w:val="BodyText"/>
      </w:pPr>
      <w:r>
        <w:t>Of course, there may be other reasons for increasing the indication period</w:t>
      </w:r>
      <w:r w:rsidR="00233C53">
        <w:t xml:space="preserve"> that we are not aware of. To resolve this issue, we propose to</w:t>
      </w:r>
    </w:p>
    <w:p w14:paraId="02E3F58A" w14:textId="61EF0381" w:rsidR="00233C53" w:rsidRDefault="00233C53" w:rsidP="00233C53">
      <w:pPr>
        <w:pStyle w:val="Proposal"/>
      </w:pPr>
      <w:bookmarkStart w:id="6" w:name="_Toc24123277"/>
      <w:r>
        <w:t xml:space="preserve">Send </w:t>
      </w:r>
      <w:proofErr w:type="gramStart"/>
      <w:r>
        <w:t>an</w:t>
      </w:r>
      <w:proofErr w:type="gramEnd"/>
      <w:r>
        <w:t xml:space="preserve"> LS to RAN4 to indicate the discrepancy between 38.213 and 38.133, explain our lack of understanding why the indication period is increased, and ask</w:t>
      </w:r>
      <w:r w:rsidR="009A39F9">
        <w:t xml:space="preserve"> RAN4 to take this into account in their future work</w:t>
      </w:r>
      <w:r>
        <w:t>.</w:t>
      </w:r>
      <w:bookmarkEnd w:id="6"/>
    </w:p>
    <w:p w14:paraId="4894D4AE" w14:textId="77777777" w:rsidR="00233C53" w:rsidRDefault="00233C53" w:rsidP="00D65576">
      <w:pPr>
        <w:pStyle w:val="BodyText"/>
      </w:pPr>
    </w:p>
    <w:p w14:paraId="14DE210F" w14:textId="77777777" w:rsidR="00C01F33" w:rsidRPr="00CE0424" w:rsidRDefault="00C01F33" w:rsidP="00CE0424">
      <w:pPr>
        <w:pStyle w:val="Heading1"/>
      </w:pPr>
      <w:r w:rsidRPr="00CE0424">
        <w:t>Conclusion</w:t>
      </w:r>
    </w:p>
    <w:p w14:paraId="28A6F6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D4D1C7B" w14:textId="77777777" w:rsidR="00233C53"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3870931" w:history="1">
        <w:r w:rsidR="00233C53" w:rsidRPr="005042B0">
          <w:rPr>
            <w:rStyle w:val="Hyperlink"/>
            <w:noProof/>
          </w:rPr>
          <w:t>Observation 1</w:t>
        </w:r>
        <w:r w:rsidR="00233C53">
          <w:rPr>
            <w:rFonts w:asciiTheme="minorHAnsi" w:eastAsiaTheme="minorEastAsia" w:hAnsiTheme="minorHAnsi" w:cstheme="minorBidi"/>
            <w:b w:val="0"/>
            <w:noProof/>
            <w:sz w:val="22"/>
            <w:szCs w:val="22"/>
            <w:lang w:val="sv-SE" w:eastAsia="sv-SE"/>
          </w:rPr>
          <w:tab/>
        </w:r>
        <w:r w:rsidR="00233C53" w:rsidRPr="005042B0">
          <w:rPr>
            <w:rStyle w:val="Hyperlink"/>
            <w:noProof/>
          </w:rPr>
          <w:t>The evaluation period is increased to reduce the risk that the UE would have to wake up outside the ON durations.</w:t>
        </w:r>
      </w:hyperlink>
    </w:p>
    <w:p w14:paraId="124A859C" w14:textId="77777777" w:rsidR="00233C53" w:rsidRDefault="001559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3870932" w:history="1">
        <w:r w:rsidR="00233C53" w:rsidRPr="005042B0">
          <w:rPr>
            <w:rStyle w:val="Hyperlink"/>
            <w:noProof/>
          </w:rPr>
          <w:t>Observation 2</w:t>
        </w:r>
        <w:r w:rsidR="00233C53">
          <w:rPr>
            <w:rFonts w:asciiTheme="minorHAnsi" w:eastAsiaTheme="minorEastAsia" w:hAnsiTheme="minorHAnsi" w:cstheme="minorBidi"/>
            <w:b w:val="0"/>
            <w:noProof/>
            <w:sz w:val="22"/>
            <w:szCs w:val="22"/>
            <w:lang w:val="sv-SE" w:eastAsia="sv-SE"/>
          </w:rPr>
          <w:tab/>
        </w:r>
        <w:r w:rsidR="00233C53" w:rsidRPr="005042B0">
          <w:rPr>
            <w:rStyle w:val="Hyperlink"/>
            <w:noProof/>
          </w:rPr>
          <w:t>The increased indication period described in 38.133 does not lead to a reduction in how often the UE would have to wake up.</w:t>
        </w:r>
      </w:hyperlink>
    </w:p>
    <w:p w14:paraId="0EBFF547" w14:textId="2DA80899" w:rsidR="006E1C82" w:rsidRDefault="006F6582" w:rsidP="008E065E">
      <w:pPr>
        <w:pStyle w:val="BodyText"/>
        <w:rPr>
          <w:b/>
          <w:bCs/>
        </w:rPr>
      </w:pPr>
      <w:r>
        <w:rPr>
          <w:b/>
          <w:bCs/>
        </w:rPr>
        <w:fldChar w:fldCharType="end"/>
      </w:r>
    </w:p>
    <w:p w14:paraId="75316A1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56DA5B7" w14:textId="77777777" w:rsidR="009A39F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123277" w:history="1">
        <w:r w:rsidR="009A39F9" w:rsidRPr="00FA7B36">
          <w:rPr>
            <w:rStyle w:val="Hyperlink"/>
            <w:noProof/>
          </w:rPr>
          <w:t>Proposal 1</w:t>
        </w:r>
        <w:r w:rsidR="009A39F9">
          <w:rPr>
            <w:rFonts w:asciiTheme="minorHAnsi" w:eastAsiaTheme="minorEastAsia" w:hAnsiTheme="minorHAnsi" w:cstheme="minorBidi"/>
            <w:b w:val="0"/>
            <w:noProof/>
            <w:sz w:val="22"/>
            <w:szCs w:val="22"/>
            <w:lang w:val="sv-SE" w:eastAsia="sv-SE"/>
          </w:rPr>
          <w:tab/>
        </w:r>
        <w:r w:rsidR="009A39F9" w:rsidRPr="00FA7B36">
          <w:rPr>
            <w:rStyle w:val="Hyperlink"/>
            <w:noProof/>
          </w:rPr>
          <w:t>Send an LS to RAN4 to indicate the discrepancy between 38.213 and 38.133, explain our lack of understanding why the indication period is increased, and ask RAN4 to take this into account in their future work.</w:t>
        </w:r>
      </w:hyperlink>
    </w:p>
    <w:p w14:paraId="01AF3E08" w14:textId="6F547086" w:rsidR="006E1C82" w:rsidRPr="00CE0424" w:rsidRDefault="006E1C82" w:rsidP="006E1C82">
      <w:pPr>
        <w:pStyle w:val="BodyText"/>
        <w:rPr>
          <w:b/>
          <w:bCs/>
        </w:rPr>
      </w:pPr>
      <w:r>
        <w:rPr>
          <w:b/>
          <w:bCs/>
          <w:lang w:val="en-US"/>
        </w:rPr>
        <w:fldChar w:fldCharType="end"/>
      </w:r>
      <w:r w:rsidRPr="00CE0424">
        <w:rPr>
          <w:b/>
          <w:bCs/>
        </w:rPr>
        <w:t xml:space="preserve"> </w:t>
      </w:r>
    </w:p>
    <w:p w14:paraId="3AEB6D35" w14:textId="77777777" w:rsidR="008E065E" w:rsidRPr="00CE0424" w:rsidRDefault="008E065E" w:rsidP="008E065E">
      <w:pPr>
        <w:rPr>
          <w:b/>
          <w:bCs/>
        </w:rPr>
      </w:pPr>
    </w:p>
    <w:p w14:paraId="74C95BDA" w14:textId="77777777" w:rsidR="008E065E" w:rsidRPr="00CE0424" w:rsidRDefault="008E065E" w:rsidP="008E065E">
      <w:pPr>
        <w:rPr>
          <w:b/>
          <w:bCs/>
        </w:rPr>
      </w:pPr>
    </w:p>
    <w:p w14:paraId="6BD5A39E" w14:textId="77777777" w:rsidR="00AB0BC8" w:rsidRPr="00CE0424" w:rsidRDefault="00AB0BC8" w:rsidP="00A04F49">
      <w:pPr>
        <w:rPr>
          <w:b/>
          <w:bCs/>
        </w:rPr>
      </w:pPr>
    </w:p>
    <w:p w14:paraId="7DF2D41D" w14:textId="77777777" w:rsidR="00311702" w:rsidRPr="00CE0424" w:rsidRDefault="00311702" w:rsidP="00AB0BC8"/>
    <w:p w14:paraId="67C05624" w14:textId="77777777" w:rsidR="00C01F33" w:rsidRPr="00CE0424" w:rsidRDefault="00C01F33" w:rsidP="006E062C"/>
    <w:p w14:paraId="58B59BC9" w14:textId="77777777" w:rsidR="00F507D1" w:rsidRPr="00CE0424" w:rsidRDefault="00F507D1" w:rsidP="00CE0424">
      <w:pPr>
        <w:pStyle w:val="Heading1"/>
      </w:pPr>
      <w:bookmarkStart w:id="7" w:name="_In-sequence_SDU_delivery"/>
      <w:bookmarkEnd w:id="7"/>
      <w:r w:rsidRPr="00CE0424">
        <w:lastRenderedPageBreak/>
        <w:t>References</w:t>
      </w:r>
    </w:p>
    <w:p w14:paraId="4A265FC3" w14:textId="589C8B71" w:rsidR="005F3025" w:rsidRPr="00CE0424" w:rsidRDefault="001956A4" w:rsidP="00311702">
      <w:pPr>
        <w:pStyle w:val="Reference"/>
      </w:pPr>
      <w:bookmarkStart w:id="8" w:name="_Ref23843942"/>
      <w:bookmarkStart w:id="9" w:name="_Ref174151459"/>
      <w:bookmarkStart w:id="10" w:name="_Ref189809556"/>
      <w:r w:rsidRPr="001956A4">
        <w:t>R1-1910196</w:t>
      </w:r>
      <w:r w:rsidR="00351101">
        <w:t xml:space="preserve">, </w:t>
      </w:r>
      <w:r w:rsidRPr="001956A4">
        <w:t>Draft TS 38.213 CR on indication period in radio link monitoring</w:t>
      </w:r>
      <w:r w:rsidR="00351101">
        <w:t>, vivo, RAN1#98bis, October 2019</w:t>
      </w:r>
      <w:bookmarkEnd w:id="8"/>
    </w:p>
    <w:bookmarkEnd w:id="9"/>
    <w:bookmarkEnd w:id="10"/>
    <w:p w14:paraId="23D257BB"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7B223" w14:textId="77777777" w:rsidR="007B2628" w:rsidRDefault="007B2628">
      <w:r>
        <w:separator/>
      </w:r>
    </w:p>
  </w:endnote>
  <w:endnote w:type="continuationSeparator" w:id="0">
    <w:p w14:paraId="30CBE632" w14:textId="77777777" w:rsidR="007B2628" w:rsidRDefault="007B2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8500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970EC" w14:textId="77777777" w:rsidR="007B2628" w:rsidRDefault="007B2628">
      <w:r>
        <w:separator/>
      </w:r>
    </w:p>
  </w:footnote>
  <w:footnote w:type="continuationSeparator" w:id="0">
    <w:p w14:paraId="43D1D6E7" w14:textId="77777777" w:rsidR="007B2628" w:rsidRDefault="007B2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62E4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852A8"/>
    <w:multiLevelType w:val="hybridMultilevel"/>
    <w:tmpl w:val="85F80F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4"/>
  </w:num>
  <w:num w:numId="7">
    <w:abstractNumId w:val="20"/>
  </w:num>
  <w:num w:numId="8">
    <w:abstractNumId w:val="9"/>
  </w:num>
  <w:num w:numId="9">
    <w:abstractNumId w:val="7"/>
  </w:num>
  <w:num w:numId="10">
    <w:abstractNumId w:val="2"/>
  </w:num>
  <w:num w:numId="11">
    <w:abstractNumId w:val="1"/>
  </w:num>
  <w:num w:numId="12">
    <w:abstractNumId w:val="0"/>
  </w:num>
  <w:num w:numId="13">
    <w:abstractNumId w:val="17"/>
  </w:num>
  <w:num w:numId="14">
    <w:abstractNumId w:val="19"/>
  </w:num>
  <w:num w:numId="15">
    <w:abstractNumId w:val="13"/>
  </w:num>
  <w:num w:numId="16">
    <w:abstractNumId w:val="21"/>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15"/>
  </w:num>
  <w:num w:numId="2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62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625"/>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9A2"/>
    <w:rsid w:val="001659C1"/>
    <w:rsid w:val="00173A8E"/>
    <w:rsid w:val="0017502C"/>
    <w:rsid w:val="0018143F"/>
    <w:rsid w:val="00181FF8"/>
    <w:rsid w:val="00182062"/>
    <w:rsid w:val="00190AC1"/>
    <w:rsid w:val="0019341A"/>
    <w:rsid w:val="001956A4"/>
    <w:rsid w:val="00197DF9"/>
    <w:rsid w:val="001A1987"/>
    <w:rsid w:val="001A2564"/>
    <w:rsid w:val="001A6173"/>
    <w:rsid w:val="001A6CBA"/>
    <w:rsid w:val="001B0D97"/>
    <w:rsid w:val="001B5A5D"/>
    <w:rsid w:val="001C1CE5"/>
    <w:rsid w:val="001C3D2A"/>
    <w:rsid w:val="001D2F13"/>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C53"/>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7D9A"/>
    <w:rsid w:val="002D071A"/>
    <w:rsid w:val="002D227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1101"/>
    <w:rsid w:val="00357380"/>
    <w:rsid w:val="003602D9"/>
    <w:rsid w:val="003604CE"/>
    <w:rsid w:val="00362CEA"/>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3801"/>
    <w:rsid w:val="005E385F"/>
    <w:rsid w:val="005E5B81"/>
    <w:rsid w:val="005F2CB1"/>
    <w:rsid w:val="005F3025"/>
    <w:rsid w:val="005F618C"/>
    <w:rsid w:val="005F70BD"/>
    <w:rsid w:val="00600B1E"/>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628"/>
    <w:rsid w:val="007B3D2D"/>
    <w:rsid w:val="007B50AE"/>
    <w:rsid w:val="007B51DF"/>
    <w:rsid w:val="007C05DD"/>
    <w:rsid w:val="007C3D18"/>
    <w:rsid w:val="007C60BF"/>
    <w:rsid w:val="007C6A07"/>
    <w:rsid w:val="007C75A1"/>
    <w:rsid w:val="007C77A5"/>
    <w:rsid w:val="007D04E5"/>
    <w:rsid w:val="007D16D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7478"/>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9F9"/>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5145"/>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75F"/>
    <w:rsid w:val="00A739D0"/>
    <w:rsid w:val="00A761D4"/>
    <w:rsid w:val="00A77EC4"/>
    <w:rsid w:val="00A81985"/>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4C20"/>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5576"/>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3D10"/>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3C7"/>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71B23A"/>
  <w15:chartTrackingRefBased/>
  <w15:docId w15:val="{9B5351DA-2BA6-4860-B012-255E95840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2CE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362C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62CEA"/>
    <w:pPr>
      <w:pBdr>
        <w:top w:val="none" w:sz="0" w:space="0" w:color="auto"/>
      </w:pBdr>
      <w:spacing w:before="180"/>
      <w:outlineLvl w:val="1"/>
    </w:pPr>
    <w:rPr>
      <w:sz w:val="32"/>
    </w:rPr>
  </w:style>
  <w:style w:type="paragraph" w:styleId="Heading3">
    <w:name w:val="heading 3"/>
    <w:basedOn w:val="Heading2"/>
    <w:next w:val="Normal"/>
    <w:link w:val="Heading3Char"/>
    <w:qFormat/>
    <w:rsid w:val="00362CEA"/>
    <w:pPr>
      <w:spacing w:before="120"/>
      <w:outlineLvl w:val="2"/>
    </w:pPr>
    <w:rPr>
      <w:sz w:val="28"/>
    </w:rPr>
  </w:style>
  <w:style w:type="paragraph" w:styleId="Heading4">
    <w:name w:val="heading 4"/>
    <w:basedOn w:val="Heading3"/>
    <w:next w:val="Normal"/>
    <w:link w:val="Heading4Char"/>
    <w:qFormat/>
    <w:rsid w:val="00362CEA"/>
    <w:pPr>
      <w:ind w:left="1418" w:hanging="1418"/>
      <w:outlineLvl w:val="3"/>
    </w:pPr>
    <w:rPr>
      <w:sz w:val="24"/>
    </w:rPr>
  </w:style>
  <w:style w:type="paragraph" w:styleId="Heading5">
    <w:name w:val="heading 5"/>
    <w:basedOn w:val="Heading4"/>
    <w:next w:val="Normal"/>
    <w:link w:val="Heading5Char"/>
    <w:qFormat/>
    <w:rsid w:val="00362CEA"/>
    <w:pPr>
      <w:ind w:left="1701" w:hanging="1701"/>
      <w:outlineLvl w:val="4"/>
    </w:pPr>
    <w:rPr>
      <w:sz w:val="22"/>
    </w:rPr>
  </w:style>
  <w:style w:type="paragraph" w:styleId="Heading6">
    <w:name w:val="heading 6"/>
    <w:basedOn w:val="H6"/>
    <w:next w:val="Normal"/>
    <w:link w:val="Heading6Char"/>
    <w:qFormat/>
    <w:rsid w:val="00362CEA"/>
    <w:pPr>
      <w:outlineLvl w:val="5"/>
    </w:pPr>
  </w:style>
  <w:style w:type="paragraph" w:styleId="Heading7">
    <w:name w:val="heading 7"/>
    <w:basedOn w:val="H6"/>
    <w:next w:val="Normal"/>
    <w:link w:val="Heading7Char"/>
    <w:qFormat/>
    <w:rsid w:val="00362CEA"/>
    <w:pPr>
      <w:outlineLvl w:val="6"/>
    </w:pPr>
  </w:style>
  <w:style w:type="paragraph" w:styleId="Heading8">
    <w:name w:val="heading 8"/>
    <w:basedOn w:val="Heading1"/>
    <w:next w:val="Normal"/>
    <w:link w:val="Heading8Char"/>
    <w:qFormat/>
    <w:rsid w:val="00362CEA"/>
    <w:pPr>
      <w:ind w:left="0" w:firstLine="0"/>
      <w:outlineLvl w:val="7"/>
    </w:pPr>
  </w:style>
  <w:style w:type="paragraph" w:styleId="Heading9">
    <w:name w:val="heading 9"/>
    <w:basedOn w:val="Heading8"/>
    <w:next w:val="Normal"/>
    <w:link w:val="Heading9Char"/>
    <w:qFormat/>
    <w:rsid w:val="00362CEA"/>
    <w:pPr>
      <w:outlineLvl w:val="8"/>
    </w:pPr>
  </w:style>
  <w:style w:type="character" w:default="1" w:styleId="DefaultParagraphFont">
    <w:name w:val="Default Paragraph Font"/>
    <w:uiPriority w:val="1"/>
    <w:semiHidden/>
    <w:unhideWhenUsed/>
    <w:rsid w:val="00362C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2CEA"/>
  </w:style>
  <w:style w:type="paragraph" w:styleId="TOC8">
    <w:name w:val="toc 8"/>
    <w:basedOn w:val="TOC1"/>
    <w:uiPriority w:val="39"/>
    <w:rsid w:val="00362CEA"/>
    <w:pPr>
      <w:spacing w:before="180"/>
      <w:ind w:left="2693" w:hanging="2693"/>
    </w:pPr>
    <w:rPr>
      <w:b/>
    </w:rPr>
  </w:style>
  <w:style w:type="paragraph" w:styleId="TOC1">
    <w:name w:val="toc 1"/>
    <w:uiPriority w:val="39"/>
    <w:rsid w:val="00362C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62CEA"/>
    <w:pPr>
      <w:keepNext/>
      <w:keepLines/>
      <w:spacing w:before="180"/>
      <w:jc w:val="center"/>
    </w:pPr>
  </w:style>
  <w:style w:type="paragraph" w:styleId="Caption">
    <w:name w:val="caption"/>
    <w:basedOn w:val="Normal"/>
    <w:next w:val="Normal"/>
    <w:qFormat/>
    <w:rsid w:val="00362CEA"/>
    <w:pPr>
      <w:spacing w:before="120" w:after="120"/>
    </w:pPr>
    <w:rPr>
      <w:b/>
      <w:lang w:eastAsia="en-GB"/>
    </w:rPr>
  </w:style>
  <w:style w:type="paragraph" w:styleId="TOC5">
    <w:name w:val="toc 5"/>
    <w:basedOn w:val="TOC4"/>
    <w:uiPriority w:val="39"/>
    <w:rsid w:val="00362CEA"/>
    <w:pPr>
      <w:ind w:left="1701" w:hanging="1701"/>
    </w:pPr>
  </w:style>
  <w:style w:type="paragraph" w:styleId="TOC4">
    <w:name w:val="toc 4"/>
    <w:basedOn w:val="TOC3"/>
    <w:uiPriority w:val="39"/>
    <w:rsid w:val="00362CEA"/>
    <w:pPr>
      <w:ind w:left="1418" w:hanging="1418"/>
    </w:pPr>
  </w:style>
  <w:style w:type="paragraph" w:styleId="TOC3">
    <w:name w:val="toc 3"/>
    <w:basedOn w:val="TOC2"/>
    <w:uiPriority w:val="39"/>
    <w:rsid w:val="00362CEA"/>
    <w:pPr>
      <w:ind w:left="1134" w:hanging="1134"/>
    </w:pPr>
  </w:style>
  <w:style w:type="paragraph" w:styleId="TOC2">
    <w:name w:val="toc 2"/>
    <w:basedOn w:val="TOC1"/>
    <w:uiPriority w:val="39"/>
    <w:rsid w:val="00362CEA"/>
    <w:pPr>
      <w:keepNext w:val="0"/>
      <w:spacing w:before="0"/>
      <w:ind w:left="851" w:hanging="851"/>
    </w:pPr>
    <w:rPr>
      <w:sz w:val="20"/>
    </w:rPr>
  </w:style>
  <w:style w:type="paragraph" w:styleId="Index2">
    <w:name w:val="index 2"/>
    <w:basedOn w:val="Index1"/>
    <w:rsid w:val="00362CEA"/>
    <w:pPr>
      <w:ind w:left="284"/>
    </w:pPr>
  </w:style>
  <w:style w:type="paragraph" w:styleId="Index1">
    <w:name w:val="index 1"/>
    <w:basedOn w:val="Normal"/>
    <w:rsid w:val="00362CEA"/>
    <w:pPr>
      <w:keepLines/>
      <w:spacing w:after="0"/>
    </w:pPr>
  </w:style>
  <w:style w:type="paragraph" w:styleId="DocumentMap">
    <w:name w:val="Document Map"/>
    <w:basedOn w:val="Normal"/>
    <w:link w:val="DocumentMapChar"/>
    <w:rsid w:val="00362CEA"/>
    <w:pPr>
      <w:shd w:val="clear" w:color="auto" w:fill="000080"/>
    </w:pPr>
    <w:rPr>
      <w:rFonts w:ascii="Tahoma" w:hAnsi="Tahoma" w:cs="Tahoma"/>
    </w:rPr>
  </w:style>
  <w:style w:type="paragraph" w:styleId="ListNumber2">
    <w:name w:val="List Number 2"/>
    <w:basedOn w:val="ListNumber"/>
    <w:rsid w:val="00362CEA"/>
    <w:pPr>
      <w:numPr>
        <w:numId w:val="22"/>
      </w:numPr>
    </w:pPr>
  </w:style>
  <w:style w:type="paragraph" w:styleId="ListNumber">
    <w:name w:val="List Number"/>
    <w:basedOn w:val="List"/>
    <w:rsid w:val="00362CEA"/>
    <w:pPr>
      <w:numPr>
        <w:numId w:val="21"/>
      </w:numPr>
    </w:pPr>
    <w:rPr>
      <w:lang w:eastAsia="ja-JP"/>
    </w:rPr>
  </w:style>
  <w:style w:type="paragraph" w:styleId="List">
    <w:name w:val="List"/>
    <w:basedOn w:val="BodyText"/>
    <w:rsid w:val="00362CEA"/>
    <w:pPr>
      <w:ind w:left="568" w:hanging="284"/>
    </w:pPr>
  </w:style>
  <w:style w:type="paragraph" w:styleId="Header">
    <w:name w:val="header"/>
    <w:link w:val="HeaderChar"/>
    <w:rsid w:val="00362CEA"/>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62CEA"/>
    <w:rPr>
      <w:b/>
      <w:position w:val="6"/>
      <w:sz w:val="16"/>
    </w:rPr>
  </w:style>
  <w:style w:type="paragraph" w:styleId="FootnoteText">
    <w:name w:val="footnote text"/>
    <w:basedOn w:val="Normal"/>
    <w:link w:val="FootnoteTextChar"/>
    <w:rsid w:val="00362CEA"/>
    <w:pPr>
      <w:keepLines/>
      <w:spacing w:after="0"/>
      <w:ind w:left="454" w:hanging="454"/>
    </w:pPr>
    <w:rPr>
      <w:sz w:val="16"/>
    </w:rPr>
  </w:style>
  <w:style w:type="paragraph" w:customStyle="1" w:styleId="3GPPHeader">
    <w:name w:val="3GPP_Header"/>
    <w:basedOn w:val="BodyText"/>
    <w:rsid w:val="00362CEA"/>
    <w:pPr>
      <w:tabs>
        <w:tab w:val="left" w:pos="1701"/>
        <w:tab w:val="right" w:pos="9639"/>
      </w:tabs>
      <w:spacing w:after="240"/>
    </w:pPr>
    <w:rPr>
      <w:b/>
      <w:sz w:val="24"/>
    </w:rPr>
  </w:style>
  <w:style w:type="paragraph" w:styleId="TOC9">
    <w:name w:val="toc 9"/>
    <w:basedOn w:val="TOC8"/>
    <w:uiPriority w:val="39"/>
    <w:rsid w:val="00362CEA"/>
    <w:pPr>
      <w:ind w:left="1418" w:hanging="1418"/>
    </w:pPr>
  </w:style>
  <w:style w:type="paragraph" w:styleId="TOC6">
    <w:name w:val="toc 6"/>
    <w:basedOn w:val="TOC5"/>
    <w:next w:val="Normal"/>
    <w:uiPriority w:val="39"/>
    <w:rsid w:val="00362CEA"/>
    <w:pPr>
      <w:ind w:left="1985" w:hanging="1985"/>
    </w:pPr>
  </w:style>
  <w:style w:type="paragraph" w:styleId="TOC7">
    <w:name w:val="toc 7"/>
    <w:basedOn w:val="TOC6"/>
    <w:next w:val="Normal"/>
    <w:uiPriority w:val="39"/>
    <w:rsid w:val="00362CEA"/>
    <w:pPr>
      <w:ind w:left="2268" w:hanging="2268"/>
    </w:pPr>
  </w:style>
  <w:style w:type="paragraph" w:styleId="ListBullet2">
    <w:name w:val="List Bullet 2"/>
    <w:basedOn w:val="ListBullet"/>
    <w:rsid w:val="00362CEA"/>
    <w:pPr>
      <w:numPr>
        <w:numId w:val="17"/>
      </w:numPr>
    </w:pPr>
  </w:style>
  <w:style w:type="paragraph" w:styleId="ListBullet">
    <w:name w:val="List Bullet"/>
    <w:basedOn w:val="List"/>
    <w:rsid w:val="00362CEA"/>
    <w:pPr>
      <w:numPr>
        <w:numId w:val="16"/>
      </w:numPr>
    </w:pPr>
    <w:rPr>
      <w:lang w:eastAsia="ja-JP"/>
    </w:rPr>
  </w:style>
  <w:style w:type="paragraph" w:styleId="ListBullet3">
    <w:name w:val="List Bullet 3"/>
    <w:basedOn w:val="ListBullet2"/>
    <w:rsid w:val="00362CEA"/>
    <w:pPr>
      <w:numPr>
        <w:numId w:val="18"/>
      </w:numPr>
    </w:pPr>
  </w:style>
  <w:style w:type="paragraph" w:customStyle="1" w:styleId="EQ">
    <w:name w:val="EQ"/>
    <w:basedOn w:val="Normal"/>
    <w:next w:val="Normal"/>
    <w:rsid w:val="00362CEA"/>
    <w:pPr>
      <w:keepLines/>
      <w:tabs>
        <w:tab w:val="center" w:pos="4536"/>
        <w:tab w:val="right" w:pos="9072"/>
      </w:tabs>
    </w:pPr>
    <w:rPr>
      <w:noProof/>
    </w:rPr>
  </w:style>
  <w:style w:type="paragraph" w:styleId="List2">
    <w:name w:val="List 2"/>
    <w:basedOn w:val="List"/>
    <w:rsid w:val="00362CEA"/>
    <w:pPr>
      <w:ind w:left="851"/>
    </w:pPr>
    <w:rPr>
      <w:lang w:eastAsia="ja-JP"/>
    </w:rPr>
  </w:style>
  <w:style w:type="paragraph" w:styleId="List3">
    <w:name w:val="List 3"/>
    <w:basedOn w:val="List2"/>
    <w:rsid w:val="00362CEA"/>
    <w:pPr>
      <w:ind w:left="1135"/>
    </w:pPr>
  </w:style>
  <w:style w:type="paragraph" w:styleId="List4">
    <w:name w:val="List 4"/>
    <w:basedOn w:val="List3"/>
    <w:rsid w:val="00362CEA"/>
    <w:pPr>
      <w:ind w:left="1418"/>
    </w:pPr>
  </w:style>
  <w:style w:type="paragraph" w:styleId="List5">
    <w:name w:val="List 5"/>
    <w:basedOn w:val="List4"/>
    <w:rsid w:val="00362CEA"/>
    <w:pPr>
      <w:ind w:left="1702"/>
    </w:pPr>
  </w:style>
  <w:style w:type="paragraph" w:customStyle="1" w:styleId="EditorsNote">
    <w:name w:val="Editor's Note"/>
    <w:basedOn w:val="NO"/>
    <w:link w:val="EditorsNoteChar"/>
    <w:rsid w:val="00362CEA"/>
    <w:rPr>
      <w:color w:val="FF0000"/>
      <w:lang w:val="x-none" w:eastAsia="x-none"/>
    </w:rPr>
  </w:style>
  <w:style w:type="paragraph" w:styleId="ListBullet4">
    <w:name w:val="List Bullet 4"/>
    <w:basedOn w:val="ListBullet3"/>
    <w:rsid w:val="00362CEA"/>
    <w:pPr>
      <w:numPr>
        <w:numId w:val="19"/>
      </w:numPr>
    </w:pPr>
  </w:style>
  <w:style w:type="paragraph" w:styleId="ListBullet5">
    <w:name w:val="List Bullet 5"/>
    <w:basedOn w:val="ListBullet4"/>
    <w:rsid w:val="00362CEA"/>
    <w:pPr>
      <w:numPr>
        <w:numId w:val="20"/>
      </w:numPr>
    </w:pPr>
  </w:style>
  <w:style w:type="paragraph" w:styleId="Footer">
    <w:name w:val="footer"/>
    <w:basedOn w:val="Header"/>
    <w:link w:val="FooterChar"/>
    <w:rsid w:val="00362CEA"/>
    <w:pPr>
      <w:jc w:val="center"/>
    </w:pPr>
    <w:rPr>
      <w:i/>
    </w:rPr>
  </w:style>
  <w:style w:type="paragraph" w:customStyle="1" w:styleId="Reference">
    <w:name w:val="Reference"/>
    <w:basedOn w:val="BodyText"/>
    <w:rsid w:val="00362CEA"/>
    <w:pPr>
      <w:numPr>
        <w:numId w:val="2"/>
      </w:numPr>
    </w:pPr>
  </w:style>
  <w:style w:type="paragraph" w:styleId="BalloonText">
    <w:name w:val="Balloon Text"/>
    <w:basedOn w:val="Normal"/>
    <w:link w:val="BalloonTextChar"/>
    <w:rsid w:val="00362CEA"/>
    <w:pPr>
      <w:spacing w:after="0"/>
    </w:pPr>
    <w:rPr>
      <w:rFonts w:ascii="Segoe UI" w:hAnsi="Segoe UI" w:cs="Segoe UI"/>
      <w:sz w:val="18"/>
      <w:szCs w:val="18"/>
    </w:rPr>
  </w:style>
  <w:style w:type="character" w:styleId="PageNumber">
    <w:name w:val="page number"/>
    <w:basedOn w:val="DefaultParagraphFont"/>
    <w:rsid w:val="00362CEA"/>
  </w:style>
  <w:style w:type="paragraph" w:styleId="BodyText">
    <w:name w:val="Body Text"/>
    <w:basedOn w:val="Normal"/>
    <w:link w:val="BodyTextChar"/>
    <w:rsid w:val="00362CEA"/>
    <w:pPr>
      <w:spacing w:after="120"/>
      <w:jc w:val="both"/>
    </w:pPr>
    <w:rPr>
      <w:rFonts w:ascii="Arial" w:hAnsi="Arial"/>
      <w:lang w:eastAsia="zh-CN"/>
    </w:rPr>
  </w:style>
  <w:style w:type="character" w:styleId="Hyperlink">
    <w:name w:val="Hyperlink"/>
    <w:uiPriority w:val="99"/>
    <w:rsid w:val="00362CEA"/>
    <w:rPr>
      <w:color w:val="0000FF"/>
      <w:u w:val="single"/>
    </w:rPr>
  </w:style>
  <w:style w:type="character" w:styleId="FollowedHyperlink">
    <w:name w:val="FollowedHyperlink"/>
    <w:unhideWhenUsed/>
    <w:rsid w:val="00362CEA"/>
    <w:rPr>
      <w:color w:val="800080"/>
      <w:u w:val="single"/>
    </w:rPr>
  </w:style>
  <w:style w:type="character" w:styleId="CommentReference">
    <w:name w:val="annotation reference"/>
    <w:uiPriority w:val="99"/>
    <w:qFormat/>
    <w:rsid w:val="00362CEA"/>
    <w:rPr>
      <w:sz w:val="16"/>
      <w:szCs w:val="16"/>
    </w:rPr>
  </w:style>
  <w:style w:type="paragraph" w:styleId="CommentText">
    <w:name w:val="annotation text"/>
    <w:basedOn w:val="Normal"/>
    <w:link w:val="CommentTextChar"/>
    <w:uiPriority w:val="99"/>
    <w:qFormat/>
    <w:rsid w:val="00362CEA"/>
  </w:style>
  <w:style w:type="paragraph" w:styleId="CommentSubject">
    <w:name w:val="annotation subject"/>
    <w:basedOn w:val="CommentText"/>
    <w:next w:val="CommentText"/>
    <w:link w:val="CommentSubjectChar"/>
    <w:rsid w:val="00362CEA"/>
    <w:rPr>
      <w:b/>
      <w:bCs/>
    </w:rPr>
  </w:style>
  <w:style w:type="character" w:customStyle="1" w:styleId="Heading1Char">
    <w:name w:val="Heading 1 Char"/>
    <w:link w:val="Heading1"/>
    <w:rsid w:val="00362CEA"/>
    <w:rPr>
      <w:rFonts w:ascii="Arial" w:hAnsi="Arial"/>
      <w:sz w:val="36"/>
      <w:lang w:eastAsia="ja-JP"/>
    </w:rPr>
  </w:style>
  <w:style w:type="paragraph" w:customStyle="1" w:styleId="B1">
    <w:name w:val="B1"/>
    <w:basedOn w:val="List"/>
    <w:link w:val="B1Char1"/>
    <w:rsid w:val="00362CEA"/>
    <w:rPr>
      <w:rFonts w:ascii="Times New Roman" w:hAnsi="Times New Roman"/>
    </w:rPr>
  </w:style>
  <w:style w:type="paragraph" w:customStyle="1" w:styleId="B2">
    <w:name w:val="B2"/>
    <w:basedOn w:val="List2"/>
    <w:link w:val="B2Char"/>
    <w:rsid w:val="00362CEA"/>
    <w:rPr>
      <w:rFonts w:ascii="Times New Roman" w:hAnsi="Times New Roman"/>
    </w:rPr>
  </w:style>
  <w:style w:type="paragraph" w:customStyle="1" w:styleId="B3">
    <w:name w:val="B3"/>
    <w:basedOn w:val="List3"/>
    <w:link w:val="B3Char2"/>
    <w:rsid w:val="00362CEA"/>
    <w:rPr>
      <w:rFonts w:ascii="Times New Roman" w:hAnsi="Times New Roman"/>
    </w:rPr>
  </w:style>
  <w:style w:type="paragraph" w:customStyle="1" w:styleId="B4">
    <w:name w:val="B4"/>
    <w:basedOn w:val="List4"/>
    <w:link w:val="B4Char"/>
    <w:rsid w:val="00362CEA"/>
    <w:rPr>
      <w:rFonts w:ascii="Times New Roman" w:hAnsi="Times New Roman"/>
    </w:rPr>
  </w:style>
  <w:style w:type="paragraph" w:customStyle="1" w:styleId="Proposal">
    <w:name w:val="Proposal"/>
    <w:basedOn w:val="BodyText"/>
    <w:qFormat/>
    <w:rsid w:val="00362CEA"/>
    <w:pPr>
      <w:numPr>
        <w:numId w:val="3"/>
      </w:numPr>
      <w:tabs>
        <w:tab w:val="clear" w:pos="1304"/>
        <w:tab w:val="left" w:pos="1701"/>
      </w:tabs>
      <w:ind w:left="1701" w:hanging="1701"/>
    </w:pPr>
    <w:rPr>
      <w:b/>
      <w:bCs/>
    </w:rPr>
  </w:style>
  <w:style w:type="character" w:customStyle="1" w:styleId="BodyTextChar">
    <w:name w:val="Body Text Char"/>
    <w:link w:val="BodyText"/>
    <w:rsid w:val="00362CEA"/>
    <w:rPr>
      <w:rFonts w:ascii="Arial" w:hAnsi="Arial"/>
      <w:lang w:eastAsia="zh-CN"/>
    </w:rPr>
  </w:style>
  <w:style w:type="paragraph" w:customStyle="1" w:styleId="B5">
    <w:name w:val="B5"/>
    <w:basedOn w:val="List5"/>
    <w:link w:val="B5Char"/>
    <w:rsid w:val="00362CEA"/>
    <w:rPr>
      <w:rFonts w:ascii="Times New Roman" w:hAnsi="Times New Roman"/>
    </w:rPr>
  </w:style>
  <w:style w:type="paragraph" w:customStyle="1" w:styleId="EX">
    <w:name w:val="EX"/>
    <w:basedOn w:val="Normal"/>
    <w:rsid w:val="00362CEA"/>
    <w:pPr>
      <w:keepLines/>
      <w:ind w:left="1702" w:hanging="1418"/>
    </w:pPr>
  </w:style>
  <w:style w:type="paragraph" w:customStyle="1" w:styleId="EW">
    <w:name w:val="EW"/>
    <w:basedOn w:val="EX"/>
    <w:rsid w:val="00362CEA"/>
    <w:pPr>
      <w:spacing w:after="0"/>
    </w:pPr>
  </w:style>
  <w:style w:type="paragraph" w:customStyle="1" w:styleId="TAL">
    <w:name w:val="TAL"/>
    <w:basedOn w:val="Normal"/>
    <w:link w:val="TALCar"/>
    <w:rsid w:val="00362CEA"/>
    <w:pPr>
      <w:keepNext/>
      <w:keepLines/>
      <w:spacing w:after="0"/>
    </w:pPr>
    <w:rPr>
      <w:rFonts w:ascii="Arial" w:hAnsi="Arial"/>
      <w:sz w:val="18"/>
      <w:lang w:val="x-none" w:eastAsia="x-none"/>
    </w:rPr>
  </w:style>
  <w:style w:type="paragraph" w:customStyle="1" w:styleId="TAC">
    <w:name w:val="TAC"/>
    <w:basedOn w:val="TAL"/>
    <w:rsid w:val="00362CEA"/>
    <w:pPr>
      <w:jc w:val="center"/>
    </w:pPr>
  </w:style>
  <w:style w:type="paragraph" w:customStyle="1" w:styleId="TAH">
    <w:name w:val="TAH"/>
    <w:basedOn w:val="TAC"/>
    <w:link w:val="TAHCar"/>
    <w:rsid w:val="00362CEA"/>
    <w:rPr>
      <w:b/>
    </w:rPr>
  </w:style>
  <w:style w:type="paragraph" w:customStyle="1" w:styleId="TAN">
    <w:name w:val="TAN"/>
    <w:basedOn w:val="TAL"/>
    <w:rsid w:val="00362CEA"/>
    <w:pPr>
      <w:ind w:left="851" w:hanging="851"/>
    </w:pPr>
  </w:style>
  <w:style w:type="paragraph" w:customStyle="1" w:styleId="TAR">
    <w:name w:val="TAR"/>
    <w:basedOn w:val="TAL"/>
    <w:rsid w:val="00362CEA"/>
    <w:pPr>
      <w:jc w:val="right"/>
    </w:pPr>
  </w:style>
  <w:style w:type="paragraph" w:customStyle="1" w:styleId="TH">
    <w:name w:val="TH"/>
    <w:basedOn w:val="Normal"/>
    <w:link w:val="THChar"/>
    <w:rsid w:val="00362CEA"/>
    <w:pPr>
      <w:keepNext/>
      <w:keepLines/>
      <w:spacing w:before="60"/>
      <w:jc w:val="center"/>
    </w:pPr>
    <w:rPr>
      <w:rFonts w:ascii="Arial" w:hAnsi="Arial"/>
      <w:b/>
      <w:lang w:val="x-none" w:eastAsia="x-none"/>
    </w:rPr>
  </w:style>
  <w:style w:type="paragraph" w:customStyle="1" w:styleId="TF">
    <w:name w:val="TF"/>
    <w:basedOn w:val="TH"/>
    <w:link w:val="TFChar"/>
    <w:rsid w:val="00362CEA"/>
    <w:pPr>
      <w:keepNext w:val="0"/>
      <w:spacing w:before="0" w:after="240"/>
    </w:pPr>
  </w:style>
  <w:style w:type="paragraph" w:customStyle="1" w:styleId="TT">
    <w:name w:val="TT"/>
    <w:basedOn w:val="Heading1"/>
    <w:next w:val="Normal"/>
    <w:rsid w:val="00362CEA"/>
    <w:pPr>
      <w:outlineLvl w:val="9"/>
    </w:pPr>
  </w:style>
  <w:style w:type="paragraph" w:customStyle="1" w:styleId="ZA">
    <w:name w:val="ZA"/>
    <w:rsid w:val="00362C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62C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62CE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62C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62CEA"/>
  </w:style>
  <w:style w:type="paragraph" w:customStyle="1" w:styleId="ZH">
    <w:name w:val="ZH"/>
    <w:rsid w:val="00362CE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62C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62CEA"/>
    <w:pPr>
      <w:framePr w:hRule="auto" w:wrap="notBeside" w:y="852"/>
    </w:pPr>
    <w:rPr>
      <w:i w:val="0"/>
      <w:sz w:val="40"/>
    </w:rPr>
  </w:style>
  <w:style w:type="paragraph" w:customStyle="1" w:styleId="ZU">
    <w:name w:val="ZU"/>
    <w:rsid w:val="00362C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62CEA"/>
    <w:pPr>
      <w:framePr w:wrap="notBeside" w:y="16161"/>
    </w:pPr>
  </w:style>
  <w:style w:type="paragraph" w:customStyle="1" w:styleId="FP">
    <w:name w:val="FP"/>
    <w:basedOn w:val="Normal"/>
    <w:rsid w:val="00362CEA"/>
    <w:pPr>
      <w:spacing w:after="0"/>
    </w:pPr>
  </w:style>
  <w:style w:type="paragraph" w:customStyle="1" w:styleId="Observation">
    <w:name w:val="Observation"/>
    <w:basedOn w:val="Proposal"/>
    <w:qFormat/>
    <w:rsid w:val="00362CEA"/>
    <w:pPr>
      <w:numPr>
        <w:numId w:val="13"/>
      </w:numPr>
      <w:ind w:left="1701" w:hanging="1701"/>
    </w:pPr>
    <w:rPr>
      <w:lang w:eastAsia="ja-JP"/>
    </w:rPr>
  </w:style>
  <w:style w:type="paragraph" w:styleId="TableofFigures">
    <w:name w:val="table of figures"/>
    <w:basedOn w:val="BodyText"/>
    <w:next w:val="Normal"/>
    <w:uiPriority w:val="99"/>
    <w:rsid w:val="00362CEA"/>
    <w:pPr>
      <w:ind w:left="1701" w:hanging="1701"/>
      <w:jc w:val="left"/>
    </w:pPr>
    <w:rPr>
      <w:b/>
    </w:rPr>
  </w:style>
  <w:style w:type="character" w:customStyle="1" w:styleId="B1Char1">
    <w:name w:val="B1 Char1"/>
    <w:link w:val="B1"/>
    <w:qFormat/>
    <w:rsid w:val="00362CEA"/>
    <w:rPr>
      <w:rFonts w:ascii="Times New Roman" w:hAnsi="Times New Roman"/>
      <w:lang w:eastAsia="zh-CN"/>
    </w:rPr>
  </w:style>
  <w:style w:type="character" w:customStyle="1" w:styleId="B2Char">
    <w:name w:val="B2 Char"/>
    <w:link w:val="B2"/>
    <w:qFormat/>
    <w:rsid w:val="00362CEA"/>
    <w:rPr>
      <w:rFonts w:ascii="Times New Roman" w:hAnsi="Times New Roman"/>
      <w:lang w:eastAsia="ja-JP"/>
    </w:rPr>
  </w:style>
  <w:style w:type="character" w:customStyle="1" w:styleId="B3Char2">
    <w:name w:val="B3 Char2"/>
    <w:link w:val="B3"/>
    <w:qFormat/>
    <w:rsid w:val="00362CEA"/>
    <w:rPr>
      <w:rFonts w:ascii="Times New Roman" w:hAnsi="Times New Roman"/>
      <w:lang w:eastAsia="ja-JP"/>
    </w:rPr>
  </w:style>
  <w:style w:type="character" w:customStyle="1" w:styleId="B4Char">
    <w:name w:val="B4 Char"/>
    <w:link w:val="B4"/>
    <w:rsid w:val="00362CEA"/>
    <w:rPr>
      <w:rFonts w:ascii="Times New Roman" w:hAnsi="Times New Roman"/>
      <w:lang w:eastAsia="ja-JP"/>
    </w:rPr>
  </w:style>
  <w:style w:type="character" w:customStyle="1" w:styleId="B5Char">
    <w:name w:val="B5 Char"/>
    <w:link w:val="B5"/>
    <w:rsid w:val="00362CEA"/>
    <w:rPr>
      <w:rFonts w:ascii="Times New Roman" w:hAnsi="Times New Roman"/>
      <w:lang w:eastAsia="ja-JP"/>
    </w:rPr>
  </w:style>
  <w:style w:type="paragraph" w:customStyle="1" w:styleId="B6">
    <w:name w:val="B6"/>
    <w:basedOn w:val="B5"/>
    <w:link w:val="B6Char"/>
    <w:rsid w:val="00362CEA"/>
    <w:pPr>
      <w:ind w:left="1985"/>
    </w:pPr>
  </w:style>
  <w:style w:type="character" w:customStyle="1" w:styleId="B6Char">
    <w:name w:val="B6 Char"/>
    <w:link w:val="B6"/>
    <w:rsid w:val="00362CEA"/>
    <w:rPr>
      <w:rFonts w:ascii="Times New Roman" w:hAnsi="Times New Roman"/>
      <w:lang w:eastAsia="ja-JP"/>
    </w:rPr>
  </w:style>
  <w:style w:type="paragraph" w:customStyle="1" w:styleId="B7">
    <w:name w:val="B7"/>
    <w:basedOn w:val="B6"/>
    <w:link w:val="B7Char"/>
    <w:rsid w:val="00362CEA"/>
    <w:pPr>
      <w:ind w:left="2269"/>
    </w:pPr>
  </w:style>
  <w:style w:type="character" w:customStyle="1" w:styleId="B7Char">
    <w:name w:val="B7 Char"/>
    <w:basedOn w:val="B6Char"/>
    <w:link w:val="B7"/>
    <w:rsid w:val="00362CEA"/>
    <w:rPr>
      <w:rFonts w:ascii="Times New Roman" w:hAnsi="Times New Roman"/>
      <w:lang w:eastAsia="ja-JP"/>
    </w:rPr>
  </w:style>
  <w:style w:type="paragraph" w:customStyle="1" w:styleId="B8">
    <w:name w:val="B8"/>
    <w:basedOn w:val="B7"/>
    <w:qFormat/>
    <w:rsid w:val="00362CEA"/>
    <w:pPr>
      <w:ind w:left="2552"/>
    </w:pPr>
  </w:style>
  <w:style w:type="character" w:customStyle="1" w:styleId="BalloonTextChar">
    <w:name w:val="Balloon Text Char"/>
    <w:link w:val="BalloonText"/>
    <w:rsid w:val="00362CEA"/>
    <w:rPr>
      <w:rFonts w:ascii="Segoe UI" w:hAnsi="Segoe UI" w:cs="Segoe UI"/>
      <w:sz w:val="18"/>
      <w:szCs w:val="18"/>
      <w:lang w:eastAsia="ja-JP"/>
    </w:rPr>
  </w:style>
  <w:style w:type="character" w:customStyle="1" w:styleId="CommentTextChar">
    <w:name w:val="Comment Text Char"/>
    <w:link w:val="CommentText"/>
    <w:uiPriority w:val="99"/>
    <w:qFormat/>
    <w:rsid w:val="00362CEA"/>
    <w:rPr>
      <w:rFonts w:ascii="Times New Roman" w:hAnsi="Times New Roman"/>
      <w:lang w:eastAsia="ja-JP"/>
    </w:rPr>
  </w:style>
  <w:style w:type="character" w:customStyle="1" w:styleId="CommentSubjectChar">
    <w:name w:val="Comment Subject Char"/>
    <w:link w:val="CommentSubject"/>
    <w:rsid w:val="00362CEA"/>
    <w:rPr>
      <w:rFonts w:ascii="Times New Roman" w:hAnsi="Times New Roman"/>
      <w:b/>
      <w:bCs/>
      <w:lang w:eastAsia="ja-JP"/>
    </w:rPr>
  </w:style>
  <w:style w:type="paragraph" w:customStyle="1" w:styleId="CRCoverPage">
    <w:name w:val="CR Cover Page"/>
    <w:link w:val="CRCoverPageZchn"/>
    <w:rsid w:val="00362CEA"/>
    <w:pPr>
      <w:spacing w:after="120"/>
    </w:pPr>
    <w:rPr>
      <w:rFonts w:ascii="Arial" w:hAnsi="Arial"/>
      <w:lang w:eastAsia="ko-KR"/>
    </w:rPr>
  </w:style>
  <w:style w:type="character" w:customStyle="1" w:styleId="CRCoverPageZchn">
    <w:name w:val="CR Cover Page Zchn"/>
    <w:link w:val="CRCoverPage"/>
    <w:rsid w:val="00362CEA"/>
    <w:rPr>
      <w:rFonts w:ascii="Arial" w:hAnsi="Arial"/>
      <w:lang w:eastAsia="ko-KR"/>
    </w:rPr>
  </w:style>
  <w:style w:type="paragraph" w:customStyle="1" w:styleId="Doc-text2">
    <w:name w:val="Doc-text2"/>
    <w:basedOn w:val="Normal"/>
    <w:link w:val="Doc-text2Char"/>
    <w:qFormat/>
    <w:rsid w:val="00362CEA"/>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62CEA"/>
    <w:rPr>
      <w:rFonts w:ascii="Arial" w:eastAsia="MS Mincho" w:hAnsi="Arial"/>
      <w:szCs w:val="24"/>
      <w:lang w:val="x-none" w:eastAsia="x-none"/>
    </w:rPr>
  </w:style>
  <w:style w:type="character" w:customStyle="1" w:styleId="DocumentMapChar">
    <w:name w:val="Document Map Char"/>
    <w:link w:val="DocumentMap"/>
    <w:rsid w:val="00362CEA"/>
    <w:rPr>
      <w:rFonts w:ascii="Tahoma" w:hAnsi="Tahoma" w:cs="Tahoma"/>
      <w:shd w:val="clear" w:color="auto" w:fill="000080"/>
      <w:lang w:eastAsia="ja-JP"/>
    </w:rPr>
  </w:style>
  <w:style w:type="paragraph" w:customStyle="1" w:styleId="NO">
    <w:name w:val="NO"/>
    <w:basedOn w:val="Normal"/>
    <w:link w:val="NOChar"/>
    <w:rsid w:val="00362CEA"/>
    <w:pPr>
      <w:keepLines/>
      <w:ind w:left="1135" w:hanging="851"/>
    </w:pPr>
  </w:style>
  <w:style w:type="character" w:customStyle="1" w:styleId="NOChar">
    <w:name w:val="NO Char"/>
    <w:link w:val="NO"/>
    <w:qFormat/>
    <w:rsid w:val="00362CEA"/>
    <w:rPr>
      <w:rFonts w:ascii="Times New Roman" w:hAnsi="Times New Roman"/>
      <w:lang w:eastAsia="ja-JP"/>
    </w:rPr>
  </w:style>
  <w:style w:type="character" w:customStyle="1" w:styleId="EditorsNoteChar">
    <w:name w:val="Editor's Note Char"/>
    <w:link w:val="EditorsNote"/>
    <w:rsid w:val="00362CEA"/>
    <w:rPr>
      <w:rFonts w:ascii="Times New Roman" w:hAnsi="Times New Roman"/>
      <w:color w:val="FF0000"/>
      <w:lang w:val="x-none" w:eastAsia="x-none"/>
    </w:rPr>
  </w:style>
  <w:style w:type="paragraph" w:customStyle="1" w:styleId="EmailDiscussion">
    <w:name w:val="EmailDiscussion"/>
    <w:basedOn w:val="Normal"/>
    <w:next w:val="Normal"/>
    <w:rsid w:val="00362CEA"/>
    <w:pPr>
      <w:numPr>
        <w:numId w:val="14"/>
      </w:numPr>
      <w:spacing w:before="40" w:after="0"/>
    </w:pPr>
    <w:rPr>
      <w:rFonts w:ascii="Arial" w:eastAsia="MS Mincho" w:hAnsi="Arial"/>
      <w:b/>
      <w:szCs w:val="24"/>
      <w:lang w:eastAsia="en-GB"/>
    </w:rPr>
  </w:style>
  <w:style w:type="character" w:styleId="Emphasis">
    <w:name w:val="Emphasis"/>
    <w:qFormat/>
    <w:rsid w:val="00362CEA"/>
    <w:rPr>
      <w:i/>
      <w:iCs/>
    </w:rPr>
  </w:style>
  <w:style w:type="paragraph" w:customStyle="1" w:styleId="FigureTitle">
    <w:name w:val="Figure_Title"/>
    <w:basedOn w:val="Normal"/>
    <w:next w:val="Normal"/>
    <w:rsid w:val="00362CEA"/>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62CEA"/>
    <w:rPr>
      <w:rFonts w:ascii="Arial" w:hAnsi="Arial"/>
      <w:b/>
      <w:noProof/>
      <w:sz w:val="18"/>
      <w:lang w:eastAsia="ja-JP"/>
    </w:rPr>
  </w:style>
  <w:style w:type="character" w:customStyle="1" w:styleId="FooterChar">
    <w:name w:val="Footer Char"/>
    <w:link w:val="Footer"/>
    <w:rsid w:val="00362CEA"/>
    <w:rPr>
      <w:rFonts w:ascii="Arial" w:hAnsi="Arial"/>
      <w:b/>
      <w:i/>
      <w:noProof/>
      <w:sz w:val="18"/>
      <w:lang w:eastAsia="ja-JP"/>
    </w:rPr>
  </w:style>
  <w:style w:type="character" w:customStyle="1" w:styleId="FootnoteTextChar">
    <w:name w:val="Footnote Text Char"/>
    <w:link w:val="FootnoteText"/>
    <w:rsid w:val="00362CEA"/>
    <w:rPr>
      <w:rFonts w:ascii="Times New Roman" w:hAnsi="Times New Roman"/>
      <w:sz w:val="16"/>
      <w:lang w:eastAsia="ja-JP"/>
    </w:rPr>
  </w:style>
  <w:style w:type="paragraph" w:customStyle="1" w:styleId="Guidance">
    <w:name w:val="Guidance"/>
    <w:basedOn w:val="Normal"/>
    <w:rsid w:val="00362CEA"/>
    <w:rPr>
      <w:i/>
      <w:color w:val="0000FF"/>
    </w:rPr>
  </w:style>
  <w:style w:type="character" w:customStyle="1" w:styleId="Heading2Char">
    <w:name w:val="Heading 2 Char"/>
    <w:link w:val="Heading2"/>
    <w:rsid w:val="00362CEA"/>
    <w:rPr>
      <w:rFonts w:ascii="Arial" w:hAnsi="Arial"/>
      <w:sz w:val="32"/>
      <w:lang w:eastAsia="ja-JP"/>
    </w:rPr>
  </w:style>
  <w:style w:type="character" w:customStyle="1" w:styleId="Heading3Char">
    <w:name w:val="Heading 3 Char"/>
    <w:link w:val="Heading3"/>
    <w:rsid w:val="00362CEA"/>
    <w:rPr>
      <w:rFonts w:ascii="Arial" w:hAnsi="Arial"/>
      <w:sz w:val="28"/>
      <w:lang w:eastAsia="ja-JP"/>
    </w:rPr>
  </w:style>
  <w:style w:type="character" w:customStyle="1" w:styleId="Heading4Char">
    <w:name w:val="Heading 4 Char"/>
    <w:link w:val="Heading4"/>
    <w:rsid w:val="00362CEA"/>
    <w:rPr>
      <w:rFonts w:ascii="Arial" w:hAnsi="Arial"/>
      <w:sz w:val="24"/>
      <w:lang w:eastAsia="ja-JP"/>
    </w:rPr>
  </w:style>
  <w:style w:type="character" w:customStyle="1" w:styleId="Heading5Char">
    <w:name w:val="Heading 5 Char"/>
    <w:link w:val="Heading5"/>
    <w:rsid w:val="00362CEA"/>
    <w:rPr>
      <w:rFonts w:ascii="Arial" w:hAnsi="Arial"/>
      <w:sz w:val="22"/>
      <w:lang w:eastAsia="ja-JP"/>
    </w:rPr>
  </w:style>
  <w:style w:type="paragraph" w:customStyle="1" w:styleId="H6">
    <w:name w:val="H6"/>
    <w:basedOn w:val="Heading5"/>
    <w:next w:val="Normal"/>
    <w:rsid w:val="00362CEA"/>
    <w:pPr>
      <w:ind w:left="1985" w:hanging="1985"/>
      <w:outlineLvl w:val="9"/>
    </w:pPr>
    <w:rPr>
      <w:sz w:val="20"/>
    </w:rPr>
  </w:style>
  <w:style w:type="character" w:customStyle="1" w:styleId="Heading6Char">
    <w:name w:val="Heading 6 Char"/>
    <w:link w:val="Heading6"/>
    <w:rsid w:val="00362CEA"/>
    <w:rPr>
      <w:rFonts w:ascii="Arial" w:hAnsi="Arial"/>
      <w:lang w:eastAsia="ja-JP"/>
    </w:rPr>
  </w:style>
  <w:style w:type="character" w:customStyle="1" w:styleId="Heading7Char">
    <w:name w:val="Heading 7 Char"/>
    <w:link w:val="Heading7"/>
    <w:rsid w:val="00362CEA"/>
    <w:rPr>
      <w:rFonts w:ascii="Arial" w:hAnsi="Arial"/>
      <w:lang w:eastAsia="ja-JP"/>
    </w:rPr>
  </w:style>
  <w:style w:type="character" w:customStyle="1" w:styleId="Heading8Char">
    <w:name w:val="Heading 8 Char"/>
    <w:link w:val="Heading8"/>
    <w:rsid w:val="00362CEA"/>
    <w:rPr>
      <w:rFonts w:ascii="Arial" w:hAnsi="Arial"/>
      <w:sz w:val="36"/>
      <w:lang w:eastAsia="ja-JP"/>
    </w:rPr>
  </w:style>
  <w:style w:type="character" w:customStyle="1" w:styleId="Heading9Char">
    <w:name w:val="Heading 9 Char"/>
    <w:link w:val="Heading9"/>
    <w:rsid w:val="00362CEA"/>
    <w:rPr>
      <w:rFonts w:ascii="Arial" w:hAnsi="Arial"/>
      <w:sz w:val="36"/>
      <w:lang w:eastAsia="ja-JP"/>
    </w:rPr>
  </w:style>
  <w:style w:type="character" w:styleId="HTMLCode">
    <w:name w:val="HTML Code"/>
    <w:uiPriority w:val="99"/>
    <w:unhideWhenUsed/>
    <w:rsid w:val="00362CEA"/>
    <w:rPr>
      <w:rFonts w:ascii="Courier New" w:eastAsia="Times New Roman" w:hAnsi="Courier New" w:cs="Courier New"/>
      <w:sz w:val="20"/>
      <w:szCs w:val="20"/>
    </w:rPr>
  </w:style>
  <w:style w:type="paragraph" w:styleId="IndexHeading">
    <w:name w:val="index heading"/>
    <w:basedOn w:val="Normal"/>
    <w:next w:val="Normal"/>
    <w:rsid w:val="00362CEA"/>
    <w:pPr>
      <w:pBdr>
        <w:top w:val="single" w:sz="12" w:space="0" w:color="auto"/>
      </w:pBdr>
      <w:spacing w:before="360" w:after="240"/>
    </w:pPr>
    <w:rPr>
      <w:b/>
      <w:i/>
      <w:sz w:val="26"/>
      <w:lang w:eastAsia="en-GB"/>
    </w:rPr>
  </w:style>
  <w:style w:type="paragraph" w:customStyle="1" w:styleId="LD">
    <w:name w:val="LD"/>
    <w:rsid w:val="00362CE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362CEA"/>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
    <w:link w:val="ListParagraph"/>
    <w:uiPriority w:val="34"/>
    <w:locked/>
    <w:rsid w:val="00362CEA"/>
    <w:rPr>
      <w:rFonts w:ascii="Calibri" w:eastAsia="Calibri" w:hAnsi="Calibri"/>
      <w:sz w:val="22"/>
      <w:szCs w:val="22"/>
      <w:lang w:val="x-none" w:eastAsia="en-US"/>
    </w:rPr>
  </w:style>
  <w:style w:type="paragraph" w:customStyle="1" w:styleId="NF">
    <w:name w:val="NF"/>
    <w:basedOn w:val="NO"/>
    <w:rsid w:val="00362CEA"/>
    <w:pPr>
      <w:keepNext/>
      <w:spacing w:after="0"/>
    </w:pPr>
    <w:rPr>
      <w:rFonts w:ascii="Arial" w:hAnsi="Arial"/>
      <w:sz w:val="18"/>
    </w:rPr>
  </w:style>
  <w:style w:type="paragraph" w:customStyle="1" w:styleId="NW">
    <w:name w:val="NW"/>
    <w:basedOn w:val="NO"/>
    <w:rsid w:val="00362CEA"/>
    <w:pPr>
      <w:spacing w:after="0"/>
    </w:pPr>
  </w:style>
  <w:style w:type="paragraph" w:customStyle="1" w:styleId="PL">
    <w:name w:val="PL"/>
    <w:link w:val="PLChar"/>
    <w:qFormat/>
    <w:rsid w:val="00362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62CEA"/>
    <w:rPr>
      <w:rFonts w:ascii="Courier New" w:eastAsia="Batang" w:hAnsi="Courier New"/>
      <w:noProof/>
      <w:sz w:val="16"/>
      <w:shd w:val="clear" w:color="auto" w:fill="E6E6E6"/>
      <w:lang w:eastAsia="sv-SE"/>
    </w:rPr>
  </w:style>
  <w:style w:type="paragraph" w:styleId="PlainText">
    <w:name w:val="Plain Text"/>
    <w:basedOn w:val="Normal"/>
    <w:link w:val="PlainTextChar"/>
    <w:rsid w:val="00362CEA"/>
    <w:rPr>
      <w:rFonts w:ascii="Courier New" w:hAnsi="Courier New"/>
      <w:lang w:val="nb-NO"/>
    </w:rPr>
  </w:style>
  <w:style w:type="character" w:customStyle="1" w:styleId="PlainTextChar">
    <w:name w:val="Plain Text Char"/>
    <w:link w:val="PlainText"/>
    <w:rsid w:val="00362CEA"/>
    <w:rPr>
      <w:rFonts w:ascii="Courier New" w:hAnsi="Courier New"/>
      <w:lang w:val="nb-NO" w:eastAsia="ja-JP"/>
    </w:rPr>
  </w:style>
  <w:style w:type="character" w:styleId="Strong">
    <w:name w:val="Strong"/>
    <w:uiPriority w:val="22"/>
    <w:qFormat/>
    <w:rsid w:val="00362CEA"/>
    <w:rPr>
      <w:b/>
      <w:bCs/>
    </w:rPr>
  </w:style>
  <w:style w:type="table" w:styleId="TableGrid">
    <w:name w:val="Table Grid"/>
    <w:basedOn w:val="TableNormal"/>
    <w:uiPriority w:val="39"/>
    <w:rsid w:val="00362C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62CEA"/>
    <w:rPr>
      <w:rFonts w:ascii="Arial" w:hAnsi="Arial"/>
      <w:sz w:val="18"/>
      <w:lang w:val="x-none" w:eastAsia="x-none"/>
    </w:rPr>
  </w:style>
  <w:style w:type="character" w:customStyle="1" w:styleId="TAHCar">
    <w:name w:val="TAH Car"/>
    <w:link w:val="TAH"/>
    <w:locked/>
    <w:rsid w:val="00362CEA"/>
    <w:rPr>
      <w:rFonts w:ascii="Arial" w:hAnsi="Arial"/>
      <w:b/>
      <w:sz w:val="18"/>
      <w:lang w:val="x-none" w:eastAsia="x-none"/>
    </w:rPr>
  </w:style>
  <w:style w:type="character" w:customStyle="1" w:styleId="THChar">
    <w:name w:val="TH Char"/>
    <w:link w:val="TH"/>
    <w:rsid w:val="00362CEA"/>
    <w:rPr>
      <w:rFonts w:ascii="Arial" w:hAnsi="Arial"/>
      <w:b/>
      <w:lang w:val="x-none" w:eastAsia="x-none"/>
    </w:rPr>
  </w:style>
  <w:style w:type="paragraph" w:customStyle="1" w:styleId="TAJ">
    <w:name w:val="TAJ"/>
    <w:basedOn w:val="TH"/>
    <w:rsid w:val="00362CEA"/>
  </w:style>
  <w:style w:type="paragraph" w:customStyle="1" w:styleId="TALCharChar">
    <w:name w:val="TAL Char Char"/>
    <w:basedOn w:val="Normal"/>
    <w:link w:val="TALCharCharChar"/>
    <w:rsid w:val="00362CEA"/>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62CEA"/>
    <w:rPr>
      <w:rFonts w:ascii="Arial" w:eastAsia="Malgun Gothic" w:hAnsi="Arial"/>
      <w:sz w:val="18"/>
      <w:lang w:val="x-none" w:eastAsia="x-none"/>
    </w:rPr>
  </w:style>
  <w:style w:type="character" w:customStyle="1" w:styleId="TFChar">
    <w:name w:val="TF Char"/>
    <w:link w:val="TF"/>
    <w:rsid w:val="00362CEA"/>
    <w:rPr>
      <w:rFonts w:ascii="Arial" w:hAnsi="Arial"/>
      <w:b/>
      <w:lang w:val="x-none" w:eastAsia="x-none"/>
    </w:rPr>
  </w:style>
  <w:style w:type="paragraph" w:styleId="ListContinue">
    <w:name w:val="List Continue"/>
    <w:basedOn w:val="Normal"/>
    <w:rsid w:val="00362CEA"/>
    <w:pPr>
      <w:spacing w:after="120"/>
      <w:ind w:left="283"/>
      <w:contextualSpacing/>
    </w:pPr>
    <w:rPr>
      <w:rFonts w:ascii="Arial" w:hAnsi="Arial"/>
    </w:rPr>
  </w:style>
  <w:style w:type="paragraph" w:styleId="ListContinue2">
    <w:name w:val="List Continue 2"/>
    <w:basedOn w:val="Normal"/>
    <w:rsid w:val="00362CEA"/>
    <w:pPr>
      <w:spacing w:after="120"/>
      <w:ind w:left="566"/>
      <w:contextualSpacing/>
    </w:pPr>
    <w:rPr>
      <w:rFonts w:ascii="Arial" w:hAnsi="Arial"/>
    </w:rPr>
  </w:style>
  <w:style w:type="paragraph" w:styleId="ListNumber3">
    <w:name w:val="List Number 3"/>
    <w:basedOn w:val="ListNumber2"/>
    <w:rsid w:val="00362CEA"/>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47042">
      <w:bodyDiv w:val="1"/>
      <w:marLeft w:val="0"/>
      <w:marRight w:val="0"/>
      <w:marTop w:val="0"/>
      <w:marBottom w:val="0"/>
      <w:divBdr>
        <w:top w:val="none" w:sz="0" w:space="0" w:color="auto"/>
        <w:left w:val="none" w:sz="0" w:space="0" w:color="auto"/>
        <w:bottom w:val="none" w:sz="0" w:space="0" w:color="auto"/>
        <w:right w:val="none" w:sz="0" w:space="0" w:color="auto"/>
      </w:divBdr>
    </w:div>
    <w:div w:id="291717683">
      <w:bodyDiv w:val="1"/>
      <w:marLeft w:val="0"/>
      <w:marRight w:val="0"/>
      <w:marTop w:val="0"/>
      <w:marBottom w:val="0"/>
      <w:divBdr>
        <w:top w:val="none" w:sz="0" w:space="0" w:color="auto"/>
        <w:left w:val="none" w:sz="0" w:space="0" w:color="auto"/>
        <w:bottom w:val="none" w:sz="0" w:space="0" w:color="auto"/>
        <w:right w:val="none" w:sz="0" w:space="0" w:color="auto"/>
      </w:divBdr>
    </w:div>
    <w:div w:id="204894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terms/"/>
    <ds:schemaRef ds:uri="http://schemas.microsoft.com/office/infopath/2007/PartnerControls"/>
    <ds:schemaRef ds:uri="http://purl.org/dc/elements/1.1/"/>
    <ds:schemaRef ds:uri="9b239327-9e80-40e4-b1b7-4394fed77a33"/>
    <ds:schemaRef ds:uri="http://purl.org/dc/dcmitype/"/>
    <ds:schemaRef ds:uri="http://www.w3.org/XML/1998/namespace"/>
    <ds:schemaRef ds:uri="http://schemas.openxmlformats.org/package/2006/metadata/core-properties"/>
    <ds:schemaRef ds:uri="http://schemas.microsoft.com/office/2006/documentManagement/types"/>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B1662EA3-8C50-40E8-8CB6-C56D0A43A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C2C3F12-A4E9-400B-A25A-F95A2E131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456</TotalTime>
  <Pages>3</Pages>
  <Words>572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3602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16</cp:revision>
  <cp:lastPrinted>2008-01-31T07:09:00Z</cp:lastPrinted>
  <dcterms:created xsi:type="dcterms:W3CDTF">2019-11-05T09:16:00Z</dcterms:created>
  <dcterms:modified xsi:type="dcterms:W3CDTF">2019-11-08T07:38:00Z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